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43E03">
      <w:pPr>
        <w:jc w:val="both"/>
        <w:rPr>
          <w:rFonts w:hint="default" w:ascii="Times New Roman" w:hAnsi="Times New Roman" w:cs="Times New Roman"/>
          <w:b/>
          <w:bCs/>
          <w:sz w:val="32"/>
          <w:szCs w:val="32"/>
        </w:rPr>
      </w:pPr>
    </w:p>
    <w:p w14:paraId="0D38D48D">
      <w:pPr>
        <w:spacing w:line="720" w:lineRule="auto"/>
        <w:jc w:val="center"/>
        <w:rPr>
          <w:rFonts w:hint="eastAsia" w:ascii="方正小标宋简体" w:hAnsi="方正小标宋简体" w:eastAsia="方正小标宋简体" w:cs="方正小标宋简体"/>
          <w:bCs/>
          <w:sz w:val="40"/>
          <w:szCs w:val="40"/>
        </w:rPr>
      </w:pPr>
      <w:r>
        <w:rPr>
          <w:rFonts w:hint="eastAsia" w:ascii="方正小标宋简体" w:hAnsi="方正小标宋简体" w:eastAsia="方正小标宋简体" w:cs="方正小标宋简体"/>
          <w:bCs/>
          <w:sz w:val="40"/>
          <w:szCs w:val="40"/>
        </w:rPr>
        <w:t>《</w:t>
      </w:r>
      <w:r>
        <w:rPr>
          <w:rFonts w:hint="eastAsia" w:ascii="方正小标宋简体" w:hAnsi="方正小标宋简体" w:eastAsia="方正小标宋简体" w:cs="方正小标宋简体"/>
          <w:bCs/>
          <w:sz w:val="40"/>
          <w:szCs w:val="40"/>
          <w:lang w:eastAsia="zh-CN"/>
        </w:rPr>
        <w:t>农村供水工程信息化建设技术导则</w:t>
      </w:r>
      <w:r>
        <w:rPr>
          <w:rFonts w:hint="eastAsia" w:ascii="方正小标宋简体" w:hAnsi="方正小标宋简体" w:eastAsia="方正小标宋简体" w:cs="方正小标宋简体"/>
          <w:bCs/>
          <w:sz w:val="40"/>
          <w:szCs w:val="40"/>
        </w:rPr>
        <w:t>》</w:t>
      </w:r>
    </w:p>
    <w:p w14:paraId="708B5174">
      <w:pPr>
        <w:jc w:val="both"/>
        <w:rPr>
          <w:rFonts w:hint="eastAsia" w:ascii="方正小标宋简体" w:hAnsi="方正小标宋简体" w:eastAsia="方正小标宋简体" w:cs="方正小标宋简体"/>
          <w:bCs/>
          <w:sz w:val="44"/>
          <w:szCs w:val="44"/>
        </w:rPr>
      </w:pPr>
    </w:p>
    <w:p w14:paraId="27C1E7F9">
      <w:pPr>
        <w:jc w:val="center"/>
        <w:rPr>
          <w:rFonts w:hint="eastAsia" w:ascii="方正小标宋简体" w:hAnsi="方正小标宋简体" w:eastAsia="方正小标宋简体" w:cs="方正小标宋简体"/>
          <w:bCs/>
          <w:sz w:val="44"/>
          <w:szCs w:val="44"/>
        </w:rPr>
      </w:pPr>
    </w:p>
    <w:p w14:paraId="0CF15E18">
      <w:pPr>
        <w:jc w:val="center"/>
        <w:outlineLvl w:val="0"/>
        <w:rPr>
          <w:rFonts w:hint="eastAsia" w:ascii="方正小标宋简体" w:hAnsi="方正小标宋简体" w:eastAsia="方正小标宋简体" w:cs="方正小标宋简体"/>
          <w:bCs/>
          <w:sz w:val="44"/>
          <w:szCs w:val="44"/>
        </w:rPr>
      </w:pPr>
      <w:bookmarkStart w:id="0" w:name="_Toc23641"/>
      <w:bookmarkStart w:id="1" w:name="_Toc5613"/>
      <w:r>
        <w:rPr>
          <w:rFonts w:hint="eastAsia" w:ascii="方正小标宋简体" w:hAnsi="方正小标宋简体" w:eastAsia="方正小标宋简体" w:cs="方正小标宋简体"/>
          <w:bCs/>
          <w:sz w:val="44"/>
          <w:szCs w:val="44"/>
        </w:rPr>
        <w:t>编</w:t>
      </w:r>
      <w:bookmarkEnd w:id="0"/>
      <w:bookmarkEnd w:id="1"/>
    </w:p>
    <w:p w14:paraId="12E84A49">
      <w:pPr>
        <w:jc w:val="center"/>
        <w:rPr>
          <w:rFonts w:hint="eastAsia" w:ascii="方正小标宋简体" w:hAnsi="方正小标宋简体" w:eastAsia="方正小标宋简体" w:cs="方正小标宋简体"/>
          <w:bCs/>
          <w:sz w:val="44"/>
          <w:szCs w:val="44"/>
        </w:rPr>
      </w:pPr>
    </w:p>
    <w:p w14:paraId="6438FBA8">
      <w:pPr>
        <w:jc w:val="center"/>
        <w:outlineLvl w:val="0"/>
        <w:rPr>
          <w:rFonts w:hint="eastAsia" w:ascii="方正小标宋简体" w:hAnsi="方正小标宋简体" w:eastAsia="方正小标宋简体" w:cs="方正小标宋简体"/>
          <w:bCs/>
          <w:sz w:val="44"/>
          <w:szCs w:val="44"/>
        </w:rPr>
      </w:pPr>
      <w:bookmarkStart w:id="2" w:name="_Toc22904"/>
      <w:bookmarkStart w:id="3" w:name="_Toc21919"/>
      <w:r>
        <w:rPr>
          <w:rFonts w:hint="eastAsia" w:ascii="方正小标宋简体" w:hAnsi="方正小标宋简体" w:eastAsia="方正小标宋简体" w:cs="方正小标宋简体"/>
          <w:bCs/>
          <w:sz w:val="44"/>
          <w:szCs w:val="44"/>
        </w:rPr>
        <w:t>制</w:t>
      </w:r>
      <w:bookmarkEnd w:id="2"/>
      <w:bookmarkEnd w:id="3"/>
    </w:p>
    <w:p w14:paraId="35AA8114">
      <w:pPr>
        <w:jc w:val="center"/>
        <w:rPr>
          <w:rFonts w:hint="eastAsia" w:ascii="方正小标宋简体" w:hAnsi="方正小标宋简体" w:eastAsia="方正小标宋简体" w:cs="方正小标宋简体"/>
          <w:bCs/>
          <w:sz w:val="44"/>
          <w:szCs w:val="44"/>
        </w:rPr>
      </w:pPr>
    </w:p>
    <w:p w14:paraId="23FA6DBA">
      <w:pPr>
        <w:jc w:val="center"/>
        <w:outlineLvl w:val="0"/>
        <w:rPr>
          <w:rFonts w:hint="eastAsia" w:ascii="方正小标宋简体" w:hAnsi="方正小标宋简体" w:eastAsia="方正小标宋简体" w:cs="方正小标宋简体"/>
          <w:bCs/>
          <w:sz w:val="44"/>
          <w:szCs w:val="44"/>
        </w:rPr>
      </w:pPr>
      <w:bookmarkStart w:id="4" w:name="_Toc30212"/>
      <w:bookmarkStart w:id="5" w:name="_Toc27240"/>
      <w:r>
        <w:rPr>
          <w:rFonts w:hint="eastAsia" w:ascii="方正小标宋简体" w:hAnsi="方正小标宋简体" w:eastAsia="方正小标宋简体" w:cs="方正小标宋简体"/>
          <w:bCs/>
          <w:sz w:val="44"/>
          <w:szCs w:val="44"/>
        </w:rPr>
        <w:t>说</w:t>
      </w:r>
      <w:bookmarkEnd w:id="4"/>
      <w:bookmarkEnd w:id="5"/>
    </w:p>
    <w:p w14:paraId="4DCD789D">
      <w:pPr>
        <w:jc w:val="center"/>
        <w:rPr>
          <w:rFonts w:hint="eastAsia" w:ascii="方正小标宋简体" w:hAnsi="方正小标宋简体" w:eastAsia="方正小标宋简体" w:cs="方正小标宋简体"/>
          <w:bCs/>
          <w:sz w:val="44"/>
          <w:szCs w:val="44"/>
        </w:rPr>
      </w:pPr>
    </w:p>
    <w:p w14:paraId="32134A5B">
      <w:pPr>
        <w:jc w:val="center"/>
        <w:outlineLvl w:val="0"/>
        <w:rPr>
          <w:rFonts w:hint="eastAsia" w:ascii="方正小标宋简体" w:hAnsi="方正小标宋简体" w:eastAsia="方正小标宋简体" w:cs="方正小标宋简体"/>
          <w:b/>
          <w:bCs/>
          <w:sz w:val="32"/>
          <w:szCs w:val="32"/>
        </w:rPr>
      </w:pPr>
      <w:bookmarkStart w:id="6" w:name="_Toc4323"/>
      <w:bookmarkStart w:id="7" w:name="_Toc21268"/>
      <w:r>
        <w:rPr>
          <w:rFonts w:hint="eastAsia" w:ascii="方正小标宋简体" w:hAnsi="方正小标宋简体" w:eastAsia="方正小标宋简体" w:cs="方正小标宋简体"/>
          <w:bCs/>
          <w:sz w:val="44"/>
          <w:szCs w:val="44"/>
        </w:rPr>
        <w:t>明</w:t>
      </w:r>
      <w:bookmarkEnd w:id="6"/>
      <w:bookmarkEnd w:id="7"/>
    </w:p>
    <w:p w14:paraId="6E60ECBD">
      <w:pPr>
        <w:jc w:val="center"/>
        <w:rPr>
          <w:rFonts w:hint="eastAsia" w:ascii="方正小标宋简体" w:hAnsi="方正小标宋简体" w:eastAsia="方正小标宋简体" w:cs="方正小标宋简体"/>
          <w:b/>
          <w:bCs/>
          <w:sz w:val="32"/>
          <w:szCs w:val="32"/>
        </w:rPr>
      </w:pPr>
    </w:p>
    <w:p w14:paraId="6A35951B">
      <w:pPr>
        <w:jc w:val="both"/>
        <w:rPr>
          <w:rFonts w:hint="eastAsia" w:ascii="方正小标宋简体" w:hAnsi="方正小标宋简体" w:eastAsia="方正小标宋简体" w:cs="方正小标宋简体"/>
          <w:bCs/>
          <w:sz w:val="36"/>
          <w:szCs w:val="36"/>
        </w:rPr>
      </w:pPr>
    </w:p>
    <w:p w14:paraId="0177CE43">
      <w:pPr>
        <w:jc w:val="center"/>
        <w:rPr>
          <w:rFonts w:hint="eastAsia" w:ascii="方正小标宋简体" w:hAnsi="方正小标宋简体" w:eastAsia="方正小标宋简体" w:cs="方正小标宋简体"/>
          <w:bCs/>
          <w:sz w:val="36"/>
          <w:szCs w:val="36"/>
        </w:rPr>
      </w:pPr>
    </w:p>
    <w:p w14:paraId="7D865C9C">
      <w:p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二</w:t>
      </w:r>
      <w:r>
        <w:rPr>
          <w:rFonts w:hint="eastAsia" w:ascii="方正小标宋简体" w:hAnsi="方正小标宋简体" w:eastAsia="方正小标宋简体" w:cs="方正小标宋简体"/>
          <w:bCs/>
          <w:sz w:val="36"/>
          <w:szCs w:val="36"/>
          <w:lang w:val="en-US" w:eastAsia="zh-CN"/>
        </w:rPr>
        <w:t>O</w:t>
      </w:r>
      <w:r>
        <w:rPr>
          <w:rFonts w:hint="eastAsia" w:ascii="方正小标宋简体" w:hAnsi="方正小标宋简体" w:eastAsia="方正小标宋简体" w:cs="方正小标宋简体"/>
          <w:bCs/>
          <w:sz w:val="36"/>
          <w:szCs w:val="36"/>
        </w:rPr>
        <w:t>二</w:t>
      </w:r>
      <w:r>
        <w:rPr>
          <w:rFonts w:hint="eastAsia" w:ascii="方正小标宋简体" w:hAnsi="方正小标宋简体" w:eastAsia="方正小标宋简体" w:cs="方正小标宋简体"/>
          <w:bCs/>
          <w:sz w:val="36"/>
          <w:szCs w:val="36"/>
          <w:lang w:val="en-US" w:eastAsia="zh-CN"/>
        </w:rPr>
        <w:t>四</w:t>
      </w:r>
      <w:r>
        <w:rPr>
          <w:rFonts w:hint="eastAsia" w:ascii="方正小标宋简体" w:hAnsi="方正小标宋简体" w:eastAsia="方正小标宋简体" w:cs="方正小标宋简体"/>
          <w:bCs/>
          <w:sz w:val="36"/>
          <w:szCs w:val="36"/>
        </w:rPr>
        <w:t>年</w:t>
      </w:r>
      <w:r>
        <w:rPr>
          <w:rFonts w:hint="eastAsia" w:ascii="方正小标宋简体" w:hAnsi="方正小标宋简体" w:eastAsia="方正小标宋简体" w:cs="方正小标宋简体"/>
          <w:bCs/>
          <w:sz w:val="36"/>
          <w:szCs w:val="36"/>
          <w:lang w:val="en-US" w:eastAsia="zh-CN"/>
        </w:rPr>
        <w:t>八</w:t>
      </w:r>
      <w:r>
        <w:rPr>
          <w:rFonts w:hint="eastAsia" w:ascii="方正小标宋简体" w:hAnsi="方正小标宋简体" w:eastAsia="方正小标宋简体" w:cs="方正小标宋简体"/>
          <w:bCs/>
          <w:sz w:val="36"/>
          <w:szCs w:val="36"/>
        </w:rPr>
        <w:t>月</w:t>
      </w:r>
    </w:p>
    <w:p w14:paraId="019AC0C9">
      <w:pPr>
        <w:rPr>
          <w:rFonts w:hint="default" w:ascii="Times New Roman" w:hAnsi="Times New Roman" w:eastAsia="宋体" w:cs="Times New Roman"/>
          <w:sz w:val="32"/>
          <w:szCs w:val="32"/>
          <w:lang w:val="en-US" w:eastAsia="zh-CN"/>
        </w:rPr>
      </w:pPr>
      <w:r>
        <w:rPr>
          <w:rFonts w:hint="default" w:ascii="Times New Roman" w:hAnsi="Times New Roman" w:eastAsia="宋体" w:cs="Times New Roman"/>
          <w:b/>
          <w:bCs/>
          <w:sz w:val="36"/>
          <w:szCs w:val="36"/>
          <w:lang w:eastAsia="zh-CN"/>
        </w:rPr>
        <w:br w:type="page"/>
      </w:r>
    </w:p>
    <w:sdt>
      <w:sdtPr>
        <w:rPr>
          <w:rFonts w:hint="default" w:ascii="Times New Roman" w:hAnsi="Times New Roman" w:eastAsia="黑体" w:cs="Times New Roman"/>
          <w:kern w:val="2"/>
          <w:sz w:val="32"/>
          <w:szCs w:val="32"/>
          <w:lang w:val="en-US" w:eastAsia="zh-CN" w:bidi="ar-SA"/>
        </w:rPr>
        <w:id w:val="147461513"/>
        <w15:color w:val="DBDBDB"/>
        <w:docPartObj>
          <w:docPartGallery w:val="Table of Contents"/>
          <w:docPartUnique/>
        </w:docPartObj>
      </w:sdtPr>
      <w:sdtEndPr>
        <w:rPr>
          <w:rFonts w:hint="default" w:ascii="Times New Roman" w:hAnsi="Times New Roman" w:eastAsia="宋体" w:cs="Times New Roman"/>
          <w:kern w:val="2"/>
          <w:sz w:val="21"/>
          <w:szCs w:val="24"/>
          <w:lang w:val="en-US" w:eastAsia="zh-CN" w:bidi="ar-SA"/>
        </w:rPr>
      </w:sdtEndPr>
      <w:sdtContent>
        <w:p w14:paraId="21398DE3">
          <w:pPr>
            <w:spacing w:before="0" w:beforeLines="0" w:after="0" w:afterLines="0" w:line="240" w:lineRule="auto"/>
            <w:ind w:left="0" w:leftChars="0" w:right="0" w:rightChars="0" w:firstLine="0" w:firstLineChars="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目录</w:t>
          </w:r>
        </w:p>
        <w:p w14:paraId="2DFCDA11">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TOC \o "1-1" \h \u </w:instrText>
          </w:r>
          <w:r>
            <w:rPr>
              <w:rFonts w:hint="default" w:ascii="Times New Roman" w:hAnsi="Times New Roman" w:cs="Times New Roman"/>
              <w:sz w:val="28"/>
              <w:szCs w:val="28"/>
            </w:rPr>
            <w:fldChar w:fldCharType="separate"/>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_Toc5270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一、 工作概况</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_Toc5270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- 1 -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67CC8712">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_Toc21918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二、 标准制定主要工作过程</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_Toc21918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- 3 -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33A55CEA">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_Toc25517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三、 制订标准的必要性和意义</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_Toc25517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- 4 -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496B6D61">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_Toc12730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四、 制订标准的原则和依据</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_Toc12730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- 4 -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0CA52604">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_Toc23510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五、 主要条款的说明，主要技术指标、参数、试验验证的描述</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_Toc23510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- 5 -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2BD8C506">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_Toc27119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六、 与国内外同类标准水平的对比分析</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_Toc27119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- 8 -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5D95DF6D">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_Toc32455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七、 标准中如果涉及专利，应有明确的知识产权说明</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_Toc32455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- 9 -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61DC889D">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_Toc5506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八、 预期达到的社会效益、对产业发展的作用情况</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_Toc5506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- 9 -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6C2371EF">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_Toc22910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九、 采用国际标准和国外先进标准情况</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_Toc22910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- 9 -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2D074A13">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_Toc7476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十、 与现行有关法律、法规和强制性标准的关系</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_Toc7476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- 9 -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13966674">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_Toc27265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 xml:space="preserve">十一、 </w:t>
          </w:r>
          <w:r>
            <w:rPr>
              <w:rFonts w:hint="default" w:ascii="Times New Roman" w:hAnsi="Times New Roman" w:cs="Times New Roman" w:eastAsiaTheme="minorEastAsia"/>
              <w:sz w:val="28"/>
              <w:szCs w:val="28"/>
            </w:rPr>
            <w:t>标准性质建议与说明</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_Toc27265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- 9 -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2C27BC7B">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_Toc8959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十二、 重大分歧意见的处理经过和依据</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_Toc8959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- 9 -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7B227D97">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_Toc6983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十三、 贯彻标准的要求和措施建议（包括组织措施、技术措施、过渡办法等内容）</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_Toc6983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- 9 -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10C4B755">
          <w:pPr>
            <w:pStyle w:val="4"/>
            <w:tabs>
              <w:tab w:val="right" w:leader="dot" w:pos="8306"/>
            </w:tabs>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_Toc1107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十四、 废止现行相关标准的建议</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_Toc1107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- 10 -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73C8AE18">
          <w:pPr>
            <w:pStyle w:val="4"/>
            <w:tabs>
              <w:tab w:val="right" w:leader="dot" w:pos="8306"/>
            </w:tabs>
            <w:rPr>
              <w:rFonts w:hint="default" w:ascii="Times New Roman" w:hAnsi="Times New Roman" w:cs="Times New Roman"/>
              <w:sz w:val="28"/>
              <w:szCs w:val="28"/>
            </w:rPr>
          </w:pP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HYPERLINK \l _Toc28148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lang w:val="en-US" w:eastAsia="zh-CN"/>
            </w:rPr>
            <w:t>十五、 其他应予说明的事项</w:t>
          </w:r>
          <w:r>
            <w:rPr>
              <w:rFonts w:hint="default" w:ascii="Times New Roman" w:hAnsi="Times New Roman" w:cs="Times New Roman" w:eastAsiaTheme="minorEastAsia"/>
              <w:sz w:val="28"/>
              <w:szCs w:val="28"/>
            </w:rPr>
            <w:tab/>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PAGEREF _Toc28148 \h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- 10 -</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fldChar w:fldCharType="end"/>
          </w:r>
        </w:p>
        <w:p w14:paraId="10F2BDC6">
          <w:pPr>
            <w:rPr>
              <w:rFonts w:hint="default" w:ascii="Times New Roman" w:hAnsi="Times New Roman" w:cs="Times New Roman"/>
            </w:rPr>
          </w:pPr>
          <w:r>
            <w:rPr>
              <w:rFonts w:hint="default" w:ascii="Times New Roman" w:hAnsi="Times New Roman" w:cs="Times New Roman"/>
              <w:sz w:val="28"/>
              <w:szCs w:val="28"/>
            </w:rPr>
            <w:fldChar w:fldCharType="end"/>
          </w:r>
        </w:p>
      </w:sdtContent>
    </w:sdt>
    <w:p w14:paraId="40AEC024">
      <w:pPr>
        <w:numPr>
          <w:ilvl w:val="0"/>
          <w:numId w:val="1"/>
        </w:numPr>
        <w:spacing w:before="156" w:beforeLines="50" w:after="156" w:afterLines="50"/>
        <w:ind w:left="-420" w:leftChars="0" w:firstLine="420" w:firstLineChars="0"/>
        <w:jc w:val="both"/>
        <w:outlineLvl w:val="0"/>
        <w:rPr>
          <w:rFonts w:hint="default" w:ascii="Times New Roman" w:hAnsi="Times New Roman" w:eastAsia="黑体" w:cs="Times New Roman"/>
          <w:b/>
          <w:sz w:val="32"/>
          <w:szCs w:val="32"/>
          <w:lang w:val="en-US" w:eastAsia="zh-CN"/>
        </w:rPr>
        <w:sectPr>
          <w:pgSz w:w="11906" w:h="16838"/>
          <w:pgMar w:top="1440" w:right="1800" w:bottom="1440" w:left="1800" w:header="851" w:footer="992" w:gutter="0"/>
          <w:cols w:space="425" w:num="1"/>
          <w:docGrid w:type="lines" w:linePitch="312" w:charSpace="0"/>
        </w:sectPr>
      </w:pPr>
    </w:p>
    <w:p w14:paraId="701BC4B8">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8" w:name="_Toc5270"/>
      <w:r>
        <w:rPr>
          <w:rFonts w:hint="default" w:ascii="Times New Roman" w:hAnsi="Times New Roman" w:eastAsia="黑体" w:cs="Times New Roman"/>
          <w:b/>
          <w:sz w:val="32"/>
          <w:szCs w:val="32"/>
          <w:lang w:val="en-US" w:eastAsia="zh-CN"/>
        </w:rPr>
        <w:t>工作概况</w:t>
      </w:r>
      <w:bookmarkEnd w:id="8"/>
    </w:p>
    <w:p w14:paraId="76CEEAF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30" w:leftChars="0"/>
        <w:jc w:val="both"/>
        <w:textAlignment w:val="auto"/>
        <w:rPr>
          <w:rFonts w:hint="default" w:ascii="Times New Roman" w:hAnsi="Times New Roman" w:eastAsia="仿宋" w:cs="Times New Roman"/>
          <w:b/>
          <w:bCs/>
          <w:sz w:val="32"/>
          <w:szCs w:val="32"/>
          <w:highlight w:val="none"/>
          <w:lang w:val="en-US" w:eastAsia="zh-CN"/>
        </w:rPr>
      </w:pPr>
      <w:r>
        <w:rPr>
          <w:rFonts w:hint="default" w:ascii="Times New Roman" w:hAnsi="Times New Roman" w:eastAsia="仿宋" w:cs="Times New Roman"/>
          <w:b/>
          <w:bCs/>
          <w:sz w:val="32"/>
          <w:szCs w:val="32"/>
          <w:highlight w:val="none"/>
          <w:lang w:val="en-US" w:eastAsia="zh-CN"/>
        </w:rPr>
        <w:t>任务来源</w:t>
      </w:r>
    </w:p>
    <w:p w14:paraId="248498EB">
      <w:pPr>
        <w:spacing w:line="360" w:lineRule="auto"/>
        <w:ind w:left="113" w:right="113" w:firstLine="640" w:firstLineChars="200"/>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2024年10月16日，由江西省水务集团有限公司申请地方标准的立项，根据江西省市场监督管理局下达的2024年度第十批江西省地方标准制修订项目计划，批准《农村供水工程信息化建设技术导则》地方标准的制定。</w:t>
      </w:r>
    </w:p>
    <w:p w14:paraId="1A66FEF8">
      <w:pPr>
        <w:spacing w:line="360" w:lineRule="auto"/>
        <w:ind w:left="113" w:right="113" w:firstLine="640" w:firstLineChars="200"/>
        <w:rPr>
          <w:rFonts w:hint="default" w:ascii="Times New Roman" w:hAnsi="Times New Roman" w:eastAsia="仿宋" w:cs="Times New Roman"/>
          <w:b/>
          <w:bCs/>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为规范我省农村集中式供水工程</w:t>
      </w:r>
      <w:r>
        <w:rPr>
          <w:rFonts w:hint="default" w:ascii="Times New Roman" w:hAnsi="Times New Roman" w:eastAsia="仿宋" w:cs="Times New Roman"/>
          <w:color w:val="auto"/>
          <w:sz w:val="32"/>
          <w:szCs w:val="32"/>
          <w:highlight w:val="none"/>
          <w:lang w:val="en-US" w:eastAsia="zh-CN"/>
        </w:rPr>
        <w:t>信息化建设</w:t>
      </w:r>
      <w:r>
        <w:rPr>
          <w:rFonts w:hint="eastAsia" w:ascii="Times New Roman" w:hAnsi="Times New Roman" w:eastAsia="仿宋" w:cs="Times New Roman"/>
          <w:color w:val="auto"/>
          <w:sz w:val="32"/>
          <w:szCs w:val="32"/>
          <w:highlight w:val="none"/>
          <w:lang w:val="en-US" w:eastAsia="zh-CN"/>
        </w:rPr>
        <w:t>，促进安全、稳定、高效供水</w:t>
      </w:r>
      <w:bookmarkStart w:id="31" w:name="_GoBack"/>
      <w:bookmarkEnd w:id="31"/>
      <w:r>
        <w:rPr>
          <w:rFonts w:hint="eastAsia" w:ascii="Times New Roman" w:hAnsi="Times New Roman" w:eastAsia="仿宋" w:cs="Times New Roman"/>
          <w:color w:val="auto"/>
          <w:sz w:val="32"/>
          <w:szCs w:val="32"/>
          <w:highlight w:val="none"/>
          <w:lang w:val="en-US" w:eastAsia="zh-CN"/>
        </w:rPr>
        <w:t>，健全从源头到龙头的供水保障体系，本标准通过对农村集中式供水工程</w:t>
      </w:r>
      <w:r>
        <w:rPr>
          <w:rFonts w:hint="default" w:ascii="Times New Roman" w:hAnsi="Times New Roman" w:eastAsia="仿宋" w:cs="Times New Roman"/>
          <w:color w:val="auto"/>
          <w:sz w:val="32"/>
          <w:szCs w:val="32"/>
          <w:highlight w:val="none"/>
          <w:lang w:val="en-US" w:eastAsia="zh-CN"/>
        </w:rPr>
        <w:t>的自动化监测系统、视频监控系统及信息化管理系统的规划布局、工程施工、安装调试及验收和系统运行维护</w:t>
      </w:r>
      <w:r>
        <w:rPr>
          <w:rFonts w:hint="eastAsia" w:ascii="Times New Roman" w:hAnsi="Times New Roman" w:eastAsia="仿宋" w:cs="Times New Roman"/>
          <w:color w:val="auto"/>
          <w:sz w:val="32"/>
          <w:szCs w:val="32"/>
          <w:highlight w:val="none"/>
          <w:lang w:val="en-US" w:eastAsia="zh-CN"/>
        </w:rPr>
        <w:t>等方面进行研究，提出农村集中式供水工程信息化管理系统的总体架构设计、功能要求及数据规范要求，</w:t>
      </w:r>
      <w:r>
        <w:rPr>
          <w:rFonts w:hint="default" w:ascii="Times New Roman" w:hAnsi="Times New Roman" w:eastAsia="仿宋" w:cs="Times New Roman"/>
          <w:color w:val="auto"/>
          <w:sz w:val="32"/>
          <w:szCs w:val="32"/>
          <w:highlight w:val="none"/>
          <w:lang w:val="en-US" w:eastAsia="zh-CN"/>
        </w:rPr>
        <w:t>起草了《农村供水工程信息化建设技术导则（试行）》</w:t>
      </w:r>
      <w:r>
        <w:rPr>
          <w:rFonts w:hint="eastAsia" w:ascii="Times New Roman" w:hAnsi="Times New Roman" w:eastAsia="仿宋" w:cs="Times New Roman"/>
          <w:color w:val="auto"/>
          <w:sz w:val="32"/>
          <w:szCs w:val="32"/>
          <w:highlight w:val="none"/>
          <w:lang w:val="en-US" w:eastAsia="zh-CN"/>
        </w:rPr>
        <w:t>。通过规范农村集中供水工程的自动化监测和信息化系统建设，实现我省农村集中式供水工程的采集规范化、业务信息化、信息数据化以及应用场景示范化，最终实现监测智能化以及数据价值化。</w:t>
      </w:r>
    </w:p>
    <w:p w14:paraId="548FF7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default" w:ascii="Times New Roman" w:hAnsi="Times New Roman" w:eastAsia="仿宋" w:cs="Times New Roman"/>
          <w:b/>
          <w:bCs/>
          <w:sz w:val="32"/>
          <w:szCs w:val="32"/>
          <w:lang w:val="en-US" w:eastAsia="zh-CN"/>
        </w:rPr>
      </w:pPr>
      <w:r>
        <w:rPr>
          <w:rFonts w:hint="eastAsia" w:ascii="Times New Roman" w:hAnsi="Times New Roman" w:eastAsia="仿宋" w:cs="Times New Roman"/>
          <w:b/>
          <w:bCs/>
          <w:sz w:val="32"/>
          <w:szCs w:val="32"/>
          <w:lang w:val="en-US" w:eastAsia="zh-CN"/>
        </w:rPr>
        <w:t>（二）</w:t>
      </w:r>
      <w:r>
        <w:rPr>
          <w:rFonts w:hint="default" w:ascii="Times New Roman" w:hAnsi="Times New Roman" w:eastAsia="仿宋" w:cs="Times New Roman"/>
          <w:b/>
          <w:bCs/>
          <w:sz w:val="32"/>
          <w:szCs w:val="32"/>
          <w:lang w:val="en-US" w:eastAsia="zh-CN"/>
        </w:rPr>
        <w:t>起草单位及主要起草人</w:t>
      </w:r>
    </w:p>
    <w:p w14:paraId="499763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本标准</w:t>
      </w:r>
      <w:r>
        <w:rPr>
          <w:rFonts w:hint="default" w:ascii="Times New Roman" w:hAnsi="Times New Roman" w:eastAsia="仿宋" w:cs="Times New Roman"/>
          <w:sz w:val="32"/>
          <w:szCs w:val="32"/>
          <w:lang w:val="en-US" w:eastAsia="zh-CN"/>
        </w:rPr>
        <w:t>主要由江西省水务集团有限公司、江西省水利厅、江西省防汛信息中心、江西省灌溉排水发展中心</w:t>
      </w:r>
      <w:r>
        <w:rPr>
          <w:rFonts w:hint="eastAsia" w:ascii="Times New Roman" w:hAnsi="Times New Roman" w:eastAsia="仿宋" w:cs="Times New Roman"/>
          <w:sz w:val="32"/>
          <w:szCs w:val="32"/>
          <w:lang w:val="en-US" w:eastAsia="zh-CN"/>
        </w:rPr>
        <w:t>、江西省质量和标准化研究院</w:t>
      </w:r>
      <w:r>
        <w:rPr>
          <w:rFonts w:hint="default" w:ascii="Times New Roman" w:hAnsi="Times New Roman" w:eastAsia="仿宋" w:cs="Times New Roman"/>
          <w:sz w:val="32"/>
          <w:szCs w:val="32"/>
          <w:lang w:val="en-US" w:eastAsia="zh-CN"/>
        </w:rPr>
        <w:t>共同起草。</w:t>
      </w:r>
    </w:p>
    <w:p w14:paraId="472679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江西省水务集团有限公司所属全资及控股子公司49家，下辖自来水厂217座（含运行、备用及在建水厂），供水规模达600余万吨/日，服务江西省近一半人口。在信息化建设方面，先后参与了江西省03专项“智鄱源”智慧水务品牌工程获江西省工信厅和省国资委数字化转型示范项目、“5G＋PLC＋安全＋AIoT，助力江西水务城乡供水智慧化运营”项目荣获第六届“绽放杯”5G应用征集大赛全国赛优秀奖、《城乡供水运营管理数智化关键技术集成与应用》项目以第一名的成绩荣获2023年度赣鄱水利科学技术奖一等奖，具有丰富的信息化建设经验。在标准编制方面，先后编制了《江西水务NB-IOT物联网水表通讯标准》《水厂自动化标准化建设规范》《管网数据库表结构与标识符标准及外业数据采集提交规范》等4个企业标准，参与编制了《水回用导则污水再生处理技术与工艺评价方法》(GB/T 41017-2021)、《水回用导则再生水分级》（GB/T 41018-2021）两项国家标准，具有丰富的标准编制经验。</w:t>
      </w:r>
    </w:p>
    <w:p w14:paraId="07A6B1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eastAsia="zh-CN"/>
        </w:rPr>
        <w:t>主要起草人如下：</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987"/>
        <w:gridCol w:w="1880"/>
        <w:gridCol w:w="2373"/>
        <w:gridCol w:w="2062"/>
      </w:tblGrid>
      <w:tr w14:paraId="6EAE013C">
        <w:trPr>
          <w:trHeight w:val="567" w:hRule="atLeast"/>
        </w:trPr>
        <w:tc>
          <w:tcPr>
            <w:tcW w:w="714" w:type="pct"/>
            <w:noWrap w:val="0"/>
            <w:vAlign w:val="center"/>
          </w:tcPr>
          <w:p w14:paraId="51A3D904">
            <w:pPr>
              <w:snapToGrid w:val="0"/>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姓 名</w:t>
            </w:r>
          </w:p>
        </w:tc>
        <w:tc>
          <w:tcPr>
            <w:tcW w:w="579" w:type="pct"/>
            <w:noWrap w:val="0"/>
            <w:vAlign w:val="center"/>
          </w:tcPr>
          <w:p w14:paraId="30206BCD">
            <w:pPr>
              <w:snapToGrid w:val="0"/>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性别</w:t>
            </w:r>
          </w:p>
        </w:tc>
        <w:tc>
          <w:tcPr>
            <w:tcW w:w="1103" w:type="pct"/>
            <w:noWrap w:val="0"/>
            <w:vAlign w:val="center"/>
          </w:tcPr>
          <w:p w14:paraId="52B59FBE">
            <w:pPr>
              <w:snapToGrid w:val="0"/>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职务/职称</w:t>
            </w:r>
          </w:p>
        </w:tc>
        <w:tc>
          <w:tcPr>
            <w:tcW w:w="1392" w:type="pct"/>
            <w:noWrap w:val="0"/>
            <w:vAlign w:val="center"/>
          </w:tcPr>
          <w:p w14:paraId="77A763C7">
            <w:pPr>
              <w:snapToGrid w:val="0"/>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工作单位</w:t>
            </w:r>
          </w:p>
        </w:tc>
        <w:tc>
          <w:tcPr>
            <w:tcW w:w="1210" w:type="pct"/>
            <w:noWrap w:val="0"/>
            <w:vAlign w:val="center"/>
          </w:tcPr>
          <w:p w14:paraId="2593D618">
            <w:pPr>
              <w:snapToGrid w:val="0"/>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任务分工</w:t>
            </w:r>
          </w:p>
        </w:tc>
      </w:tr>
      <w:tr w14:paraId="33EC4CFC">
        <w:trPr>
          <w:trHeight w:val="90" w:hRule="atLeast"/>
        </w:trPr>
        <w:tc>
          <w:tcPr>
            <w:tcW w:w="714" w:type="pct"/>
            <w:noWrap w:val="0"/>
            <w:vAlign w:val="center"/>
          </w:tcPr>
          <w:p w14:paraId="7B2F281A">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黄  玮</w:t>
            </w:r>
          </w:p>
        </w:tc>
        <w:tc>
          <w:tcPr>
            <w:tcW w:w="579" w:type="pct"/>
            <w:noWrap w:val="0"/>
            <w:vAlign w:val="center"/>
          </w:tcPr>
          <w:p w14:paraId="4204AD20">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noWrap w:val="0"/>
            <w:vAlign w:val="center"/>
          </w:tcPr>
          <w:p w14:paraId="21E7D465">
            <w:pPr>
              <w:snapToGrid w:val="0"/>
              <w:jc w:val="center"/>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党委书记</w:t>
            </w:r>
          </w:p>
          <w:p w14:paraId="0306300A">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董事长</w:t>
            </w:r>
          </w:p>
        </w:tc>
        <w:tc>
          <w:tcPr>
            <w:tcW w:w="1392" w:type="pct"/>
            <w:noWrap w:val="0"/>
            <w:vAlign w:val="center"/>
          </w:tcPr>
          <w:p w14:paraId="26BF2838">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val="en-US" w:eastAsia="zh-CN"/>
              </w:rPr>
              <w:t>江西省水务集团有限公司</w:t>
            </w:r>
          </w:p>
        </w:tc>
        <w:tc>
          <w:tcPr>
            <w:tcW w:w="1210" w:type="pct"/>
            <w:noWrap w:val="0"/>
            <w:vAlign w:val="center"/>
          </w:tcPr>
          <w:p w14:paraId="60E64C3B">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eastAsia="zh-CN"/>
              </w:rPr>
              <w:t>总体负责</w:t>
            </w:r>
          </w:p>
        </w:tc>
      </w:tr>
      <w:tr w14:paraId="1066B2F2">
        <w:trPr>
          <w:trHeight w:val="691" w:hRule="atLeast"/>
        </w:trPr>
        <w:tc>
          <w:tcPr>
            <w:tcW w:w="714" w:type="pct"/>
            <w:noWrap w:val="0"/>
            <w:vAlign w:val="center"/>
          </w:tcPr>
          <w:p w14:paraId="651FF4A3">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彭冬水</w:t>
            </w:r>
          </w:p>
        </w:tc>
        <w:tc>
          <w:tcPr>
            <w:tcW w:w="579" w:type="pct"/>
            <w:noWrap w:val="0"/>
            <w:vAlign w:val="center"/>
          </w:tcPr>
          <w:p w14:paraId="6BBB6A3E">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男</w:t>
            </w:r>
          </w:p>
        </w:tc>
        <w:tc>
          <w:tcPr>
            <w:tcW w:w="1103" w:type="pct"/>
            <w:noWrap w:val="0"/>
            <w:vAlign w:val="center"/>
          </w:tcPr>
          <w:p w14:paraId="779D8D46">
            <w:pPr>
              <w:snapToGrid w:val="0"/>
              <w:jc w:val="center"/>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党委书记</w:t>
            </w:r>
          </w:p>
          <w:p w14:paraId="0F14EF10">
            <w:pPr>
              <w:snapToGrid w:val="0"/>
              <w:jc w:val="center"/>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董事长</w:t>
            </w:r>
          </w:p>
        </w:tc>
        <w:tc>
          <w:tcPr>
            <w:tcW w:w="1392" w:type="pct"/>
            <w:noWrap w:val="0"/>
            <w:vAlign w:val="center"/>
          </w:tcPr>
          <w:p w14:paraId="71A8E2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sz w:val="28"/>
                <w:szCs w:val="28"/>
                <w:lang w:val="en-US" w:eastAsia="zh-CN"/>
              </w:rPr>
            </w:pPr>
            <w:r>
              <w:rPr>
                <w:rFonts w:ascii="FangSong" w:hAnsi="FangSong" w:eastAsia="FangSong" w:cs="FangSong"/>
                <w:color w:val="000000"/>
                <w:kern w:val="0"/>
                <w:sz w:val="28"/>
                <w:szCs w:val="28"/>
                <w:lang w:val="en-US" w:eastAsia="zh-CN" w:bidi="ar"/>
              </w:rPr>
              <w:t>江西省水投能源发</w:t>
            </w:r>
            <w:r>
              <w:rPr>
                <w:rFonts w:hint="eastAsia" w:ascii="FangSong" w:hAnsi="FangSong" w:eastAsia="FangSong" w:cs="FangSong"/>
                <w:color w:val="000000"/>
                <w:kern w:val="0"/>
                <w:sz w:val="28"/>
                <w:szCs w:val="28"/>
                <w:lang w:val="en-US" w:eastAsia="zh-CN" w:bidi="ar"/>
              </w:rPr>
              <w:t>展有限公司</w:t>
            </w:r>
          </w:p>
        </w:tc>
        <w:tc>
          <w:tcPr>
            <w:tcW w:w="1210" w:type="pct"/>
            <w:noWrap w:val="0"/>
            <w:vAlign w:val="center"/>
          </w:tcPr>
          <w:p w14:paraId="5D0F5E02">
            <w:pPr>
              <w:snapToGrid w:val="0"/>
              <w:jc w:val="center"/>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技术把关</w:t>
            </w:r>
          </w:p>
        </w:tc>
      </w:tr>
      <w:tr w14:paraId="116CF61A">
        <w:trPr>
          <w:trHeight w:val="567" w:hRule="atLeast"/>
        </w:trPr>
        <w:tc>
          <w:tcPr>
            <w:tcW w:w="714" w:type="pct"/>
            <w:shd w:val="clear" w:color="auto" w:fill="auto"/>
            <w:noWrap w:val="0"/>
            <w:vAlign w:val="center"/>
          </w:tcPr>
          <w:p w14:paraId="56F9F93E">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李都望</w:t>
            </w:r>
          </w:p>
        </w:tc>
        <w:tc>
          <w:tcPr>
            <w:tcW w:w="579" w:type="pct"/>
            <w:shd w:val="clear" w:color="auto" w:fill="auto"/>
            <w:noWrap w:val="0"/>
            <w:vAlign w:val="center"/>
          </w:tcPr>
          <w:p w14:paraId="4D75EDCC">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shd w:val="clear" w:color="auto" w:fill="auto"/>
            <w:noWrap w:val="0"/>
            <w:vAlign w:val="center"/>
          </w:tcPr>
          <w:p w14:paraId="0669725C">
            <w:pPr>
              <w:snapToGrid w:val="0"/>
              <w:jc w:val="center"/>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党委委员</w:t>
            </w:r>
          </w:p>
          <w:p w14:paraId="73A8A356">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副总经理</w:t>
            </w:r>
          </w:p>
        </w:tc>
        <w:tc>
          <w:tcPr>
            <w:tcW w:w="1392" w:type="pct"/>
            <w:shd w:val="clear" w:color="auto" w:fill="auto"/>
            <w:noWrap w:val="0"/>
            <w:vAlign w:val="center"/>
          </w:tcPr>
          <w:p w14:paraId="4AC1D0C0">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val="en-US" w:eastAsia="zh-CN"/>
              </w:rPr>
              <w:t>江西省水务集团有限公司</w:t>
            </w:r>
          </w:p>
        </w:tc>
        <w:tc>
          <w:tcPr>
            <w:tcW w:w="1210" w:type="pct"/>
            <w:shd w:val="clear" w:color="auto" w:fill="auto"/>
            <w:noWrap w:val="0"/>
            <w:vAlign w:val="center"/>
          </w:tcPr>
          <w:p w14:paraId="2F721202">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eastAsia="zh-CN"/>
              </w:rPr>
              <w:t>技术把关</w:t>
            </w:r>
          </w:p>
        </w:tc>
      </w:tr>
      <w:tr w14:paraId="76947BDB">
        <w:trPr>
          <w:trHeight w:val="567" w:hRule="atLeast"/>
        </w:trPr>
        <w:tc>
          <w:tcPr>
            <w:tcW w:w="714" w:type="pct"/>
            <w:noWrap w:val="0"/>
            <w:vAlign w:val="center"/>
          </w:tcPr>
          <w:p w14:paraId="1C80850E">
            <w:pPr>
              <w:snapToGrid w:val="0"/>
              <w:jc w:val="center"/>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苏立群</w:t>
            </w:r>
          </w:p>
        </w:tc>
        <w:tc>
          <w:tcPr>
            <w:tcW w:w="579" w:type="pct"/>
            <w:noWrap w:val="0"/>
            <w:vAlign w:val="center"/>
          </w:tcPr>
          <w:p w14:paraId="1BF706BF">
            <w:pPr>
              <w:snapToGrid w:val="0"/>
              <w:jc w:val="center"/>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男</w:t>
            </w:r>
          </w:p>
        </w:tc>
        <w:tc>
          <w:tcPr>
            <w:tcW w:w="1103" w:type="pct"/>
            <w:noWrap w:val="0"/>
            <w:vAlign w:val="center"/>
          </w:tcPr>
          <w:p w14:paraId="4DCE1B00">
            <w:pPr>
              <w:snapToGrid w:val="0"/>
              <w:jc w:val="center"/>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处长</w:t>
            </w:r>
          </w:p>
        </w:tc>
        <w:tc>
          <w:tcPr>
            <w:tcW w:w="1392" w:type="pct"/>
            <w:noWrap w:val="0"/>
            <w:vAlign w:val="center"/>
          </w:tcPr>
          <w:p w14:paraId="04CFCF4B">
            <w:pPr>
              <w:snapToGrid w:val="0"/>
              <w:jc w:val="center"/>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val="en-US" w:eastAsia="zh-CN"/>
              </w:rPr>
              <w:t>江西省水利厅农村水利处</w:t>
            </w:r>
          </w:p>
        </w:tc>
        <w:tc>
          <w:tcPr>
            <w:tcW w:w="1210" w:type="pct"/>
            <w:noWrap w:val="0"/>
            <w:vAlign w:val="center"/>
          </w:tcPr>
          <w:p w14:paraId="3AF46BA9">
            <w:pPr>
              <w:snapToGrid w:val="0"/>
              <w:jc w:val="center"/>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rPr>
              <w:t>技术把关</w:t>
            </w:r>
          </w:p>
        </w:tc>
      </w:tr>
      <w:tr w14:paraId="5D1DB7AC">
        <w:trPr>
          <w:trHeight w:val="567" w:hRule="atLeast"/>
        </w:trPr>
        <w:tc>
          <w:tcPr>
            <w:tcW w:w="714" w:type="pct"/>
            <w:noWrap w:val="0"/>
            <w:vAlign w:val="center"/>
          </w:tcPr>
          <w:p w14:paraId="28D05163">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钟爱民</w:t>
            </w:r>
          </w:p>
        </w:tc>
        <w:tc>
          <w:tcPr>
            <w:tcW w:w="579" w:type="pct"/>
            <w:noWrap w:val="0"/>
            <w:vAlign w:val="center"/>
          </w:tcPr>
          <w:p w14:paraId="66ACEAD8">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noWrap w:val="0"/>
            <w:vAlign w:val="center"/>
          </w:tcPr>
          <w:p w14:paraId="7FE76C81">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副处长</w:t>
            </w:r>
          </w:p>
        </w:tc>
        <w:tc>
          <w:tcPr>
            <w:tcW w:w="1392" w:type="pct"/>
            <w:noWrap w:val="0"/>
            <w:vAlign w:val="center"/>
          </w:tcPr>
          <w:p w14:paraId="49245DAC">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val="en-US" w:eastAsia="zh-CN"/>
              </w:rPr>
              <w:t>江西省水利厅农村水利处</w:t>
            </w:r>
          </w:p>
        </w:tc>
        <w:tc>
          <w:tcPr>
            <w:tcW w:w="1210" w:type="pct"/>
            <w:noWrap w:val="0"/>
            <w:vAlign w:val="center"/>
          </w:tcPr>
          <w:p w14:paraId="32F20B82">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eastAsia="zh-CN"/>
              </w:rPr>
              <w:t>技术把关</w:t>
            </w:r>
          </w:p>
        </w:tc>
      </w:tr>
      <w:tr w14:paraId="14ABA910">
        <w:trPr>
          <w:trHeight w:val="567" w:hRule="atLeast"/>
        </w:trPr>
        <w:tc>
          <w:tcPr>
            <w:tcW w:w="714" w:type="pct"/>
            <w:noWrap w:val="0"/>
            <w:vAlign w:val="center"/>
          </w:tcPr>
          <w:p w14:paraId="0E754C40">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胡西芳</w:t>
            </w:r>
          </w:p>
        </w:tc>
        <w:tc>
          <w:tcPr>
            <w:tcW w:w="579" w:type="pct"/>
            <w:noWrap w:val="0"/>
            <w:vAlign w:val="center"/>
          </w:tcPr>
          <w:p w14:paraId="3BA236B2">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男</w:t>
            </w:r>
          </w:p>
        </w:tc>
        <w:tc>
          <w:tcPr>
            <w:tcW w:w="1103" w:type="pct"/>
            <w:noWrap w:val="0"/>
            <w:vAlign w:val="center"/>
          </w:tcPr>
          <w:p w14:paraId="6B57715F">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总经理助理</w:t>
            </w:r>
          </w:p>
        </w:tc>
        <w:tc>
          <w:tcPr>
            <w:tcW w:w="1392" w:type="pct"/>
            <w:noWrap w:val="0"/>
            <w:vAlign w:val="center"/>
          </w:tcPr>
          <w:p w14:paraId="01F8C27F">
            <w:pPr>
              <w:snapToGrid w:val="0"/>
              <w:jc w:val="center"/>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江西省水务集团有限公司</w:t>
            </w:r>
          </w:p>
        </w:tc>
        <w:tc>
          <w:tcPr>
            <w:tcW w:w="1210" w:type="pct"/>
            <w:noWrap w:val="0"/>
            <w:vAlign w:val="center"/>
          </w:tcPr>
          <w:p w14:paraId="03FC9543">
            <w:pPr>
              <w:snapToGrid w:val="0"/>
              <w:jc w:val="center"/>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技术把关</w:t>
            </w:r>
          </w:p>
        </w:tc>
      </w:tr>
      <w:tr w14:paraId="00ACFC1A">
        <w:trPr>
          <w:trHeight w:val="567" w:hRule="atLeast"/>
        </w:trPr>
        <w:tc>
          <w:tcPr>
            <w:tcW w:w="714" w:type="pct"/>
            <w:noWrap w:val="0"/>
            <w:vAlign w:val="center"/>
          </w:tcPr>
          <w:p w14:paraId="024E758B">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易振宇</w:t>
            </w:r>
          </w:p>
        </w:tc>
        <w:tc>
          <w:tcPr>
            <w:tcW w:w="579" w:type="pct"/>
            <w:noWrap w:val="0"/>
            <w:vAlign w:val="center"/>
          </w:tcPr>
          <w:p w14:paraId="395B6EB9">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noWrap w:val="0"/>
            <w:vAlign w:val="center"/>
          </w:tcPr>
          <w:p w14:paraId="5361B713">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科技信息部部长</w:t>
            </w:r>
          </w:p>
        </w:tc>
        <w:tc>
          <w:tcPr>
            <w:tcW w:w="1392" w:type="pct"/>
            <w:noWrap w:val="0"/>
            <w:vAlign w:val="center"/>
          </w:tcPr>
          <w:p w14:paraId="4ADDA59C">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val="en-US" w:eastAsia="zh-CN"/>
              </w:rPr>
              <w:t>江西省水务集团有限公司</w:t>
            </w:r>
          </w:p>
        </w:tc>
        <w:tc>
          <w:tcPr>
            <w:tcW w:w="1210" w:type="pct"/>
            <w:noWrap w:val="0"/>
            <w:vAlign w:val="center"/>
          </w:tcPr>
          <w:p w14:paraId="7E72CFDF">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eastAsia="zh-CN"/>
              </w:rPr>
              <w:t>参与标准编制</w:t>
            </w:r>
          </w:p>
        </w:tc>
      </w:tr>
      <w:tr w14:paraId="09AD5026">
        <w:trPr>
          <w:trHeight w:val="717" w:hRule="atLeast"/>
        </w:trPr>
        <w:tc>
          <w:tcPr>
            <w:tcW w:w="714" w:type="pct"/>
            <w:noWrap w:val="0"/>
            <w:vAlign w:val="center"/>
          </w:tcPr>
          <w:p w14:paraId="39134DD6">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华戴胜</w:t>
            </w:r>
          </w:p>
        </w:tc>
        <w:tc>
          <w:tcPr>
            <w:tcW w:w="579" w:type="pct"/>
            <w:noWrap w:val="0"/>
            <w:vAlign w:val="center"/>
          </w:tcPr>
          <w:p w14:paraId="119012BE">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男</w:t>
            </w:r>
          </w:p>
        </w:tc>
        <w:tc>
          <w:tcPr>
            <w:tcW w:w="1103" w:type="pct"/>
            <w:noWrap w:val="0"/>
            <w:vAlign w:val="center"/>
          </w:tcPr>
          <w:p w14:paraId="6EA81A8A">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科技信息部/中级经济师</w:t>
            </w:r>
          </w:p>
        </w:tc>
        <w:tc>
          <w:tcPr>
            <w:tcW w:w="1392" w:type="pct"/>
            <w:noWrap w:val="0"/>
            <w:vAlign w:val="center"/>
          </w:tcPr>
          <w:p w14:paraId="62D09AD4">
            <w:pPr>
              <w:snapToGrid w:val="0"/>
              <w:jc w:val="center"/>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江西省水务集团有限公司</w:t>
            </w:r>
          </w:p>
        </w:tc>
        <w:tc>
          <w:tcPr>
            <w:tcW w:w="1210" w:type="pct"/>
            <w:noWrap w:val="0"/>
            <w:vAlign w:val="center"/>
          </w:tcPr>
          <w:p w14:paraId="697DFF2A">
            <w:pPr>
              <w:snapToGrid w:val="0"/>
              <w:jc w:val="center"/>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参与标准编制</w:t>
            </w:r>
          </w:p>
        </w:tc>
      </w:tr>
      <w:tr w14:paraId="3FDE2BB2">
        <w:trPr>
          <w:trHeight w:val="717" w:hRule="atLeast"/>
        </w:trPr>
        <w:tc>
          <w:tcPr>
            <w:tcW w:w="714" w:type="pct"/>
            <w:noWrap w:val="0"/>
            <w:vAlign w:val="center"/>
          </w:tcPr>
          <w:p w14:paraId="6117F5D2">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史</w:t>
            </w:r>
            <w:r>
              <w:rPr>
                <w:rFonts w:hint="eastAsia" w:ascii="Times New Roman" w:hAnsi="Times New Roman" w:eastAsia="仿宋" w:cs="Times New Roman"/>
                <w:kern w:val="2"/>
                <w:sz w:val="28"/>
                <w:szCs w:val="28"/>
                <w:lang w:val="en-US" w:eastAsia="zh-CN" w:bidi="ar-SA"/>
              </w:rPr>
              <w:t xml:space="preserve">  </w:t>
            </w:r>
            <w:r>
              <w:rPr>
                <w:rFonts w:hint="default" w:ascii="Times New Roman" w:hAnsi="Times New Roman" w:eastAsia="仿宋" w:cs="Times New Roman"/>
                <w:kern w:val="2"/>
                <w:sz w:val="28"/>
                <w:szCs w:val="28"/>
                <w:lang w:val="en-US" w:eastAsia="zh-CN" w:bidi="ar-SA"/>
              </w:rPr>
              <w:t>赟</w:t>
            </w:r>
          </w:p>
        </w:tc>
        <w:tc>
          <w:tcPr>
            <w:tcW w:w="579" w:type="pct"/>
            <w:noWrap w:val="0"/>
            <w:vAlign w:val="center"/>
          </w:tcPr>
          <w:p w14:paraId="24B6B46C">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noWrap w:val="0"/>
            <w:vAlign w:val="center"/>
          </w:tcPr>
          <w:p w14:paraId="02428485">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总工/高级工程师</w:t>
            </w:r>
          </w:p>
        </w:tc>
        <w:tc>
          <w:tcPr>
            <w:tcW w:w="1392" w:type="pct"/>
            <w:noWrap w:val="0"/>
            <w:vAlign w:val="center"/>
          </w:tcPr>
          <w:p w14:paraId="1E631C76">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val="en-US" w:eastAsia="zh-CN"/>
              </w:rPr>
              <w:t>江西省防汛信息中心</w:t>
            </w:r>
          </w:p>
        </w:tc>
        <w:tc>
          <w:tcPr>
            <w:tcW w:w="1210" w:type="pct"/>
            <w:noWrap w:val="0"/>
            <w:vAlign w:val="center"/>
          </w:tcPr>
          <w:p w14:paraId="782AD17C">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eastAsia="zh-CN"/>
              </w:rPr>
              <w:t>参与标准编制</w:t>
            </w:r>
          </w:p>
        </w:tc>
      </w:tr>
      <w:tr w14:paraId="6CBF21F9">
        <w:trPr>
          <w:trHeight w:val="90" w:hRule="atLeast"/>
        </w:trPr>
        <w:tc>
          <w:tcPr>
            <w:tcW w:w="714" w:type="pct"/>
            <w:noWrap w:val="0"/>
            <w:vAlign w:val="center"/>
          </w:tcPr>
          <w:p w14:paraId="1453B4B7">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邓泽宇</w:t>
            </w:r>
          </w:p>
        </w:tc>
        <w:tc>
          <w:tcPr>
            <w:tcW w:w="579" w:type="pct"/>
            <w:noWrap w:val="0"/>
            <w:vAlign w:val="center"/>
          </w:tcPr>
          <w:p w14:paraId="59440ECA">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男</w:t>
            </w:r>
          </w:p>
        </w:tc>
        <w:tc>
          <w:tcPr>
            <w:tcW w:w="1103" w:type="pct"/>
            <w:noWrap w:val="0"/>
            <w:vAlign w:val="center"/>
          </w:tcPr>
          <w:p w14:paraId="61DE33D1">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三级主任科员</w:t>
            </w:r>
          </w:p>
        </w:tc>
        <w:tc>
          <w:tcPr>
            <w:tcW w:w="1392" w:type="pct"/>
            <w:noWrap w:val="0"/>
            <w:vAlign w:val="center"/>
          </w:tcPr>
          <w:p w14:paraId="24C479F3">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val="en-US" w:eastAsia="zh-CN"/>
              </w:rPr>
              <w:t>江西省水利厅农村水利处</w:t>
            </w:r>
          </w:p>
        </w:tc>
        <w:tc>
          <w:tcPr>
            <w:tcW w:w="1210" w:type="pct"/>
            <w:noWrap w:val="0"/>
            <w:vAlign w:val="center"/>
          </w:tcPr>
          <w:p w14:paraId="5191716D">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eastAsia="zh-CN"/>
              </w:rPr>
              <w:t>参与标准编制</w:t>
            </w:r>
          </w:p>
        </w:tc>
      </w:tr>
      <w:tr w14:paraId="14E071AD">
        <w:trPr>
          <w:trHeight w:val="567" w:hRule="atLeast"/>
        </w:trPr>
        <w:tc>
          <w:tcPr>
            <w:tcW w:w="714" w:type="pct"/>
            <w:noWrap w:val="0"/>
            <w:vAlign w:val="center"/>
          </w:tcPr>
          <w:p w14:paraId="365F0982">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朱松挺</w:t>
            </w:r>
          </w:p>
        </w:tc>
        <w:tc>
          <w:tcPr>
            <w:tcW w:w="579" w:type="pct"/>
            <w:noWrap w:val="0"/>
            <w:vAlign w:val="center"/>
          </w:tcPr>
          <w:p w14:paraId="35655DE4">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noWrap w:val="0"/>
            <w:vAlign w:val="center"/>
          </w:tcPr>
          <w:p w14:paraId="30E39F1F">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智慧水利建设科副科长/</w:t>
            </w:r>
            <w:r>
              <w:rPr>
                <w:rFonts w:hint="default" w:ascii="Times New Roman" w:hAnsi="Times New Roman" w:eastAsia="仿宋" w:cs="Times New Roman"/>
                <w:kern w:val="2"/>
                <w:sz w:val="28"/>
                <w:szCs w:val="28"/>
                <w:lang w:val="en-US" w:eastAsia="zh-CN" w:bidi="ar-SA"/>
              </w:rPr>
              <w:t>高级工程师</w:t>
            </w:r>
          </w:p>
        </w:tc>
        <w:tc>
          <w:tcPr>
            <w:tcW w:w="1392" w:type="pct"/>
            <w:noWrap w:val="0"/>
            <w:vAlign w:val="center"/>
          </w:tcPr>
          <w:p w14:paraId="6EADD213">
            <w:pPr>
              <w:snapToGrid w:val="0"/>
              <w:jc w:val="center"/>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江西省防汛信息中心</w:t>
            </w:r>
          </w:p>
        </w:tc>
        <w:tc>
          <w:tcPr>
            <w:tcW w:w="1210" w:type="pct"/>
            <w:noWrap w:val="0"/>
            <w:vAlign w:val="center"/>
          </w:tcPr>
          <w:p w14:paraId="479B91AE">
            <w:pPr>
              <w:snapToGrid w:val="0"/>
              <w:jc w:val="center"/>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参与标准编制</w:t>
            </w:r>
          </w:p>
        </w:tc>
      </w:tr>
      <w:tr w14:paraId="091C41F7">
        <w:trPr>
          <w:trHeight w:val="434" w:hRule="atLeast"/>
        </w:trPr>
        <w:tc>
          <w:tcPr>
            <w:tcW w:w="714" w:type="pct"/>
            <w:noWrap w:val="0"/>
            <w:vAlign w:val="center"/>
          </w:tcPr>
          <w:p w14:paraId="05C8E829">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占  鹏</w:t>
            </w:r>
          </w:p>
        </w:tc>
        <w:tc>
          <w:tcPr>
            <w:tcW w:w="579" w:type="pct"/>
            <w:noWrap w:val="0"/>
            <w:vAlign w:val="center"/>
          </w:tcPr>
          <w:p w14:paraId="608A5C04">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noWrap w:val="0"/>
            <w:vAlign w:val="center"/>
          </w:tcPr>
          <w:p w14:paraId="3640A6D8">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供水排水科科长/工程师</w:t>
            </w:r>
          </w:p>
        </w:tc>
        <w:tc>
          <w:tcPr>
            <w:tcW w:w="1392" w:type="pct"/>
            <w:noWrap w:val="0"/>
            <w:vAlign w:val="center"/>
          </w:tcPr>
          <w:p w14:paraId="3F828C3D">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val="en-US" w:eastAsia="zh-CN"/>
              </w:rPr>
              <w:t>江西省灌溉排水发展中心</w:t>
            </w:r>
          </w:p>
        </w:tc>
        <w:tc>
          <w:tcPr>
            <w:tcW w:w="1210" w:type="pct"/>
            <w:noWrap w:val="0"/>
            <w:vAlign w:val="center"/>
          </w:tcPr>
          <w:p w14:paraId="67DD1FE6">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lang w:eastAsia="zh-CN"/>
              </w:rPr>
              <w:t>参与标准编制</w:t>
            </w:r>
          </w:p>
        </w:tc>
      </w:tr>
      <w:tr w14:paraId="65A4BE06">
        <w:trPr>
          <w:trHeight w:val="567" w:hRule="atLeast"/>
        </w:trPr>
        <w:tc>
          <w:tcPr>
            <w:tcW w:w="714" w:type="pct"/>
            <w:noWrap w:val="0"/>
            <w:vAlign w:val="center"/>
          </w:tcPr>
          <w:p w14:paraId="285CFC69">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徐  宁</w:t>
            </w:r>
          </w:p>
        </w:tc>
        <w:tc>
          <w:tcPr>
            <w:tcW w:w="579" w:type="pct"/>
            <w:noWrap w:val="0"/>
            <w:vAlign w:val="center"/>
          </w:tcPr>
          <w:p w14:paraId="7898670D">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noWrap w:val="0"/>
            <w:vAlign w:val="center"/>
          </w:tcPr>
          <w:p w14:paraId="0FC08ECE">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供水排水科干事</w:t>
            </w:r>
            <w:r>
              <w:rPr>
                <w:rFonts w:hint="default" w:ascii="Times New Roman" w:hAnsi="Times New Roman" w:eastAsia="仿宋" w:cs="Times New Roman"/>
                <w:sz w:val="28"/>
                <w:szCs w:val="28"/>
              </w:rPr>
              <w:t>/</w:t>
            </w:r>
            <w:r>
              <w:rPr>
                <w:rFonts w:hint="default" w:ascii="Times New Roman" w:hAnsi="Times New Roman" w:eastAsia="仿宋" w:cs="Times New Roman"/>
                <w:kern w:val="2"/>
                <w:sz w:val="28"/>
                <w:szCs w:val="28"/>
                <w:lang w:val="en-US" w:eastAsia="zh-CN" w:bidi="ar-SA"/>
              </w:rPr>
              <w:t>工程师</w:t>
            </w:r>
          </w:p>
        </w:tc>
        <w:tc>
          <w:tcPr>
            <w:tcW w:w="1392" w:type="pct"/>
            <w:noWrap w:val="0"/>
            <w:vAlign w:val="center"/>
          </w:tcPr>
          <w:p w14:paraId="5F5F780F">
            <w:pPr>
              <w:snapToGrid w:val="0"/>
              <w:jc w:val="center"/>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江西省灌溉排水发展中心</w:t>
            </w:r>
          </w:p>
        </w:tc>
        <w:tc>
          <w:tcPr>
            <w:tcW w:w="1210" w:type="pct"/>
            <w:noWrap w:val="0"/>
            <w:vAlign w:val="center"/>
          </w:tcPr>
          <w:p w14:paraId="29E5DEE6">
            <w:pPr>
              <w:snapToGrid w:val="0"/>
              <w:jc w:val="center"/>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参与标准编制</w:t>
            </w:r>
          </w:p>
        </w:tc>
      </w:tr>
      <w:tr w14:paraId="6421E8B7">
        <w:trPr>
          <w:trHeight w:val="567" w:hRule="atLeast"/>
        </w:trPr>
        <w:tc>
          <w:tcPr>
            <w:tcW w:w="714" w:type="pct"/>
            <w:noWrap w:val="0"/>
            <w:vAlign w:val="center"/>
          </w:tcPr>
          <w:p w14:paraId="37AA1191">
            <w:pPr>
              <w:keepNext w:val="0"/>
              <w:keepLines w:val="0"/>
              <w:pageBreakBefore w:val="0"/>
              <w:widowControl/>
              <w:suppressLineNumbers w:val="0"/>
              <w:kinsoku/>
              <w:wordWrap/>
              <w:overflowPunct/>
              <w:topLinePunct w:val="0"/>
              <w:autoSpaceDE/>
              <w:autoSpaceDN/>
              <w:bidi w:val="0"/>
              <w:adjustRightInd/>
              <w:spacing w:line="240" w:lineRule="auto"/>
              <w:jc w:val="center"/>
              <w:textAlignment w:val="auto"/>
              <w:rPr>
                <w:rFonts w:hint="eastAsia" w:ascii="仿宋" w:hAnsi="仿宋" w:eastAsia="仿宋" w:cs="仿宋"/>
                <w:kern w:val="2"/>
                <w:sz w:val="28"/>
                <w:szCs w:val="28"/>
                <w:lang w:val="en-US" w:eastAsia="zh-CN" w:bidi="ar-SA"/>
              </w:rPr>
            </w:pPr>
            <w:r>
              <w:rPr>
                <w:rFonts w:hint="eastAsia" w:ascii="仿宋" w:hAnsi="仿宋" w:eastAsia="仿宋" w:cs="仿宋"/>
                <w:color w:val="000000"/>
                <w:kern w:val="0"/>
                <w:sz w:val="28"/>
                <w:szCs w:val="28"/>
                <w:lang w:val="en-US" w:eastAsia="zh-CN" w:bidi="ar"/>
              </w:rPr>
              <w:t>鞠小霞</w:t>
            </w:r>
          </w:p>
        </w:tc>
        <w:tc>
          <w:tcPr>
            <w:tcW w:w="579" w:type="pct"/>
            <w:noWrap w:val="0"/>
            <w:vAlign w:val="center"/>
          </w:tcPr>
          <w:p w14:paraId="2CCC933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女</w:t>
            </w:r>
          </w:p>
        </w:tc>
        <w:tc>
          <w:tcPr>
            <w:tcW w:w="1103" w:type="pct"/>
            <w:noWrap w:val="0"/>
            <w:vAlign w:val="center"/>
          </w:tcPr>
          <w:p w14:paraId="47960FBF">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工程师</w:t>
            </w:r>
          </w:p>
        </w:tc>
        <w:tc>
          <w:tcPr>
            <w:tcW w:w="1392" w:type="pct"/>
            <w:noWrap w:val="0"/>
            <w:vAlign w:val="center"/>
          </w:tcPr>
          <w:p w14:paraId="7DCDC3B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江西省质量和标准化研究院</w:t>
            </w:r>
          </w:p>
        </w:tc>
        <w:tc>
          <w:tcPr>
            <w:tcW w:w="1210" w:type="pct"/>
            <w:noWrap w:val="0"/>
            <w:vAlign w:val="center"/>
          </w:tcPr>
          <w:p w14:paraId="33A0FA2A">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技术咨询</w:t>
            </w:r>
          </w:p>
        </w:tc>
      </w:tr>
      <w:tr w14:paraId="556505D1">
        <w:trPr>
          <w:trHeight w:val="627" w:hRule="atLeast"/>
        </w:trPr>
        <w:tc>
          <w:tcPr>
            <w:tcW w:w="714" w:type="pct"/>
            <w:noWrap w:val="0"/>
            <w:vAlign w:val="center"/>
          </w:tcPr>
          <w:p w14:paraId="09D030EE">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陈超凡</w:t>
            </w:r>
          </w:p>
        </w:tc>
        <w:tc>
          <w:tcPr>
            <w:tcW w:w="579" w:type="pct"/>
            <w:noWrap w:val="0"/>
            <w:vAlign w:val="center"/>
          </w:tcPr>
          <w:p w14:paraId="58358375">
            <w:pPr>
              <w:snapToGrid w:val="0"/>
              <w:jc w:val="center"/>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8"/>
                <w:szCs w:val="28"/>
                <w:lang w:val="en-US" w:eastAsia="zh-CN" w:bidi="ar-SA"/>
              </w:rPr>
              <w:t>男</w:t>
            </w:r>
          </w:p>
        </w:tc>
        <w:tc>
          <w:tcPr>
            <w:tcW w:w="1103" w:type="pct"/>
            <w:noWrap w:val="0"/>
            <w:vAlign w:val="center"/>
          </w:tcPr>
          <w:p w14:paraId="5F571BC2">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助理工程师</w:t>
            </w:r>
          </w:p>
        </w:tc>
        <w:tc>
          <w:tcPr>
            <w:tcW w:w="1392" w:type="pct"/>
            <w:shd w:val="clear" w:color="auto" w:fill="auto"/>
            <w:noWrap w:val="0"/>
            <w:vAlign w:val="center"/>
          </w:tcPr>
          <w:p w14:paraId="425E9AB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江西省质量和标准化研究院</w:t>
            </w:r>
          </w:p>
        </w:tc>
        <w:tc>
          <w:tcPr>
            <w:tcW w:w="1210" w:type="pct"/>
            <w:shd w:val="clear" w:color="auto" w:fill="auto"/>
            <w:noWrap w:val="0"/>
            <w:vAlign w:val="center"/>
          </w:tcPr>
          <w:p w14:paraId="5BE929EB">
            <w:pPr>
              <w:snapToGrid w:val="0"/>
              <w:jc w:val="center"/>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技术咨询</w:t>
            </w:r>
          </w:p>
        </w:tc>
      </w:tr>
    </w:tbl>
    <w:p w14:paraId="612540F9">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9" w:name="_Toc21918"/>
      <w:r>
        <w:rPr>
          <w:rFonts w:hint="default" w:ascii="Times New Roman" w:hAnsi="Times New Roman" w:eastAsia="黑体" w:cs="Times New Roman"/>
          <w:b/>
          <w:sz w:val="32"/>
          <w:szCs w:val="32"/>
          <w:lang w:val="en-US" w:eastAsia="zh-CN"/>
        </w:rPr>
        <w:t>标准制定主要工作过程</w:t>
      </w:r>
      <w:bookmarkEnd w:id="9"/>
    </w:p>
    <w:p w14:paraId="0E621DC4">
      <w:pPr>
        <w:keepNext w:val="0"/>
        <w:keepLines w:val="0"/>
        <w:pageBreakBefore w:val="0"/>
        <w:numPr>
          <w:ilvl w:val="0"/>
          <w:numId w:val="0"/>
        </w:numPr>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eastAsia" w:ascii="Times New Roman" w:hAnsi="Times New Roman" w:eastAsia="仿宋" w:cs="Times New Roman"/>
          <w:sz w:val="32"/>
          <w:szCs w:val="32"/>
          <w:highlight w:val="none"/>
          <w:lang w:val="en-US" w:eastAsia="zh-CN"/>
        </w:rPr>
        <w:t>本标准</w:t>
      </w:r>
      <w:r>
        <w:rPr>
          <w:rFonts w:hint="default" w:ascii="Times New Roman" w:hAnsi="Times New Roman" w:eastAsia="仿宋" w:cs="Times New Roman"/>
          <w:sz w:val="32"/>
          <w:szCs w:val="32"/>
          <w:highlight w:val="none"/>
          <w:lang w:val="en-US" w:eastAsia="zh-CN"/>
        </w:rPr>
        <w:t>主要起草过程如下：</w:t>
      </w:r>
    </w:p>
    <w:p w14:paraId="5EDA50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default" w:ascii="Times New Roman" w:hAnsi="Times New Roman" w:eastAsia="仿宋" w:cs="Times New Roman"/>
          <w:b/>
          <w:bCs/>
          <w:sz w:val="32"/>
          <w:szCs w:val="32"/>
          <w:highlight w:val="none"/>
          <w:lang w:val="en-US" w:eastAsia="zh-CN"/>
        </w:rPr>
      </w:pPr>
      <w:r>
        <w:rPr>
          <w:rFonts w:hint="eastAsia" w:ascii="Times New Roman" w:hAnsi="Times New Roman" w:eastAsia="仿宋" w:cs="Times New Roman"/>
          <w:b/>
          <w:bCs/>
          <w:sz w:val="32"/>
          <w:szCs w:val="32"/>
          <w:highlight w:val="none"/>
          <w:lang w:val="en-US" w:eastAsia="zh-CN"/>
        </w:rPr>
        <w:t>（一）标准预研工作阶段（2023</w:t>
      </w:r>
      <w:r>
        <w:rPr>
          <w:rFonts w:hint="default" w:ascii="Times New Roman" w:hAnsi="Times New Roman" w:eastAsia="仿宋" w:cs="Times New Roman"/>
          <w:b/>
          <w:bCs/>
          <w:sz w:val="32"/>
          <w:szCs w:val="32"/>
          <w:highlight w:val="none"/>
          <w:lang w:val="en-US" w:eastAsia="zh-CN"/>
        </w:rPr>
        <w:t>年1月～2023年</w:t>
      </w:r>
      <w:r>
        <w:rPr>
          <w:rFonts w:hint="eastAsia" w:ascii="Times New Roman" w:hAnsi="Times New Roman" w:eastAsia="仿宋" w:cs="Times New Roman"/>
          <w:b/>
          <w:bCs/>
          <w:sz w:val="32"/>
          <w:szCs w:val="32"/>
          <w:highlight w:val="none"/>
          <w:lang w:val="en-US" w:eastAsia="zh-CN"/>
        </w:rPr>
        <w:t>8</w:t>
      </w:r>
      <w:r>
        <w:rPr>
          <w:rFonts w:hint="default" w:ascii="Times New Roman" w:hAnsi="Times New Roman" w:eastAsia="仿宋" w:cs="Times New Roman"/>
          <w:b/>
          <w:bCs/>
          <w:sz w:val="32"/>
          <w:szCs w:val="32"/>
          <w:highlight w:val="none"/>
          <w:lang w:val="en-US" w:eastAsia="zh-CN"/>
        </w:rPr>
        <w:t>月</w:t>
      </w:r>
      <w:r>
        <w:rPr>
          <w:rFonts w:hint="eastAsia" w:ascii="Times New Roman" w:hAnsi="Times New Roman" w:eastAsia="仿宋" w:cs="Times New Roman"/>
          <w:b/>
          <w:bCs/>
          <w:sz w:val="32"/>
          <w:szCs w:val="32"/>
          <w:highlight w:val="none"/>
          <w:lang w:val="en-US" w:eastAsia="zh-CN"/>
        </w:rPr>
        <w:t>）</w:t>
      </w:r>
    </w:p>
    <w:p w14:paraId="0C920D15">
      <w:pPr>
        <w:keepNext w:val="0"/>
        <w:keepLines w:val="0"/>
        <w:pageBreakBefore w:val="0"/>
        <w:numPr>
          <w:ilvl w:val="0"/>
          <w:numId w:val="0"/>
        </w:numPr>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（1）2023年1月～2023年7月，项目组</w:t>
      </w:r>
      <w:r>
        <w:rPr>
          <w:rFonts w:hint="default" w:ascii="Times New Roman" w:hAnsi="Times New Roman" w:eastAsia="仿宋" w:cs="Times New Roman"/>
          <w:sz w:val="32"/>
          <w:szCs w:val="32"/>
          <w:lang w:val="en-US" w:eastAsia="zh-CN"/>
        </w:rPr>
        <w:t>结合江西省农村供水工程信息化的建设和管理需求</w:t>
      </w:r>
      <w:r>
        <w:rPr>
          <w:rFonts w:hint="default" w:ascii="Times New Roman" w:hAnsi="Times New Roman" w:eastAsia="仿宋" w:cs="Times New Roman"/>
          <w:sz w:val="32"/>
          <w:szCs w:val="32"/>
          <w:highlight w:val="none"/>
          <w:lang w:val="en-US" w:eastAsia="zh-CN"/>
        </w:rPr>
        <w:t>，起草编制了</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江西省农村供水工程信息化建设技术</w:t>
      </w:r>
      <w:r>
        <w:rPr>
          <w:rFonts w:hint="default" w:ascii="Times New Roman" w:hAnsi="Times New Roman" w:eastAsia="仿宋" w:cs="Times New Roman"/>
          <w:sz w:val="32"/>
          <w:szCs w:val="32"/>
          <w:lang w:val="en-US" w:eastAsia="zh-CN"/>
        </w:rPr>
        <w:t>导则（</w:t>
      </w:r>
      <w:r>
        <w:rPr>
          <w:rFonts w:hint="default" w:ascii="Times New Roman" w:hAnsi="Times New Roman" w:eastAsia="仿宋" w:cs="Times New Roman"/>
          <w:sz w:val="32"/>
          <w:szCs w:val="32"/>
          <w:highlight w:val="none"/>
          <w:lang w:val="en-US" w:eastAsia="zh-CN"/>
        </w:rPr>
        <w:t>初稿</w:t>
      </w:r>
      <w:r>
        <w:rPr>
          <w:rFonts w:hint="default" w:ascii="Times New Roman" w:hAnsi="Times New Roman" w:eastAsia="仿宋" w:cs="Times New Roman"/>
          <w:sz w:val="32"/>
          <w:szCs w:val="32"/>
          <w:lang w:val="en-US" w:eastAsia="zh-CN"/>
        </w:rPr>
        <w:t>）》</w:t>
      </w:r>
      <w:r>
        <w:rPr>
          <w:rFonts w:hint="default" w:ascii="Times New Roman" w:hAnsi="Times New Roman" w:eastAsia="仿宋" w:cs="Times New Roman"/>
          <w:sz w:val="32"/>
          <w:szCs w:val="32"/>
          <w:highlight w:val="none"/>
          <w:lang w:val="en-US" w:eastAsia="zh-CN"/>
        </w:rPr>
        <w:t>。</w:t>
      </w:r>
    </w:p>
    <w:p w14:paraId="566FA425">
      <w:pPr>
        <w:keepNext w:val="0"/>
        <w:keepLines w:val="0"/>
        <w:pageBreakBefore w:val="0"/>
        <w:numPr>
          <w:ilvl w:val="0"/>
          <w:numId w:val="0"/>
        </w:numPr>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（2）2023年7月10日，水利厅农水处征求了有关企事业单位意见建议，并根据收集到的意见建议对标准初稿进行了修改完善。</w:t>
      </w:r>
    </w:p>
    <w:p w14:paraId="6FEC9C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highlight w:val="none"/>
          <w:lang w:val="en-US" w:eastAsia="zh-CN"/>
        </w:rPr>
        <w:t>（3）2023年8月9日，</w:t>
      </w:r>
      <w:r>
        <w:rPr>
          <w:rFonts w:hint="default" w:ascii="Times New Roman" w:hAnsi="Times New Roman" w:eastAsia="仿宋" w:cs="Times New Roman"/>
          <w:sz w:val="32"/>
          <w:szCs w:val="32"/>
          <w:lang w:val="en-US" w:eastAsia="zh-CN"/>
        </w:rPr>
        <w:t>由水利厅印发</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江西省农村供水工程信息化建设技术</w:t>
      </w:r>
      <w:r>
        <w:rPr>
          <w:rFonts w:hint="default" w:ascii="Times New Roman" w:hAnsi="Times New Roman" w:eastAsia="仿宋" w:cs="Times New Roman"/>
          <w:sz w:val="32"/>
          <w:szCs w:val="32"/>
          <w:lang w:val="en-US" w:eastAsia="zh-CN"/>
        </w:rPr>
        <w:t>导则（</w:t>
      </w:r>
      <w:r>
        <w:rPr>
          <w:rFonts w:hint="default" w:ascii="Times New Roman" w:hAnsi="Times New Roman" w:eastAsia="仿宋" w:cs="Times New Roman"/>
          <w:sz w:val="32"/>
          <w:szCs w:val="32"/>
          <w:highlight w:val="none"/>
          <w:lang w:val="en-US" w:eastAsia="zh-CN"/>
        </w:rPr>
        <w:t>试行</w:t>
      </w:r>
      <w:r>
        <w:rPr>
          <w:rFonts w:hint="default" w:ascii="Times New Roman" w:hAnsi="Times New Roman" w:eastAsia="仿宋" w:cs="Times New Roman"/>
          <w:sz w:val="32"/>
          <w:szCs w:val="32"/>
          <w:lang w:val="en-US" w:eastAsia="zh-CN"/>
        </w:rPr>
        <w:t>）》至各设区市、县水利局试行。</w:t>
      </w:r>
    </w:p>
    <w:p w14:paraId="56D08A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default" w:ascii="Times New Roman" w:hAnsi="Times New Roman" w:eastAsia="仿宋" w:cs="Times New Roman"/>
          <w:b/>
          <w:bCs/>
          <w:sz w:val="32"/>
          <w:szCs w:val="32"/>
          <w:highlight w:val="none"/>
          <w:lang w:val="en-US" w:eastAsia="zh-CN"/>
        </w:rPr>
      </w:pPr>
      <w:r>
        <w:rPr>
          <w:rFonts w:hint="eastAsia" w:ascii="Times New Roman" w:hAnsi="Times New Roman" w:eastAsia="仿宋" w:cs="Times New Roman"/>
          <w:b/>
          <w:bCs/>
          <w:sz w:val="32"/>
          <w:szCs w:val="32"/>
          <w:highlight w:val="none"/>
          <w:lang w:val="en-US" w:eastAsia="zh-CN"/>
        </w:rPr>
        <w:t>（二）标准立项准备阶段（2023</w:t>
      </w:r>
      <w:r>
        <w:rPr>
          <w:rFonts w:hint="default" w:ascii="Times New Roman" w:hAnsi="Times New Roman" w:eastAsia="仿宋" w:cs="Times New Roman"/>
          <w:b/>
          <w:bCs/>
          <w:sz w:val="32"/>
          <w:szCs w:val="32"/>
          <w:highlight w:val="none"/>
          <w:lang w:val="en-US" w:eastAsia="zh-CN"/>
        </w:rPr>
        <w:t>年</w:t>
      </w:r>
      <w:r>
        <w:rPr>
          <w:rFonts w:hint="eastAsia" w:ascii="Times New Roman" w:hAnsi="Times New Roman" w:eastAsia="仿宋" w:cs="Times New Roman"/>
          <w:b/>
          <w:bCs/>
          <w:sz w:val="32"/>
          <w:szCs w:val="32"/>
          <w:highlight w:val="none"/>
          <w:lang w:val="en-US" w:eastAsia="zh-CN"/>
        </w:rPr>
        <w:t>9</w:t>
      </w:r>
      <w:r>
        <w:rPr>
          <w:rFonts w:hint="default" w:ascii="Times New Roman" w:hAnsi="Times New Roman" w:eastAsia="仿宋" w:cs="Times New Roman"/>
          <w:b/>
          <w:bCs/>
          <w:sz w:val="32"/>
          <w:szCs w:val="32"/>
          <w:highlight w:val="none"/>
          <w:lang w:val="en-US" w:eastAsia="zh-CN"/>
        </w:rPr>
        <w:t>月～202</w:t>
      </w:r>
      <w:r>
        <w:rPr>
          <w:rFonts w:hint="eastAsia" w:ascii="Times New Roman" w:hAnsi="Times New Roman" w:eastAsia="仿宋" w:cs="Times New Roman"/>
          <w:b/>
          <w:bCs/>
          <w:sz w:val="32"/>
          <w:szCs w:val="32"/>
          <w:highlight w:val="none"/>
          <w:lang w:val="en-US" w:eastAsia="zh-CN"/>
        </w:rPr>
        <w:t>4</w:t>
      </w:r>
      <w:r>
        <w:rPr>
          <w:rFonts w:hint="default" w:ascii="Times New Roman" w:hAnsi="Times New Roman" w:eastAsia="仿宋" w:cs="Times New Roman"/>
          <w:b/>
          <w:bCs/>
          <w:sz w:val="32"/>
          <w:szCs w:val="32"/>
          <w:highlight w:val="none"/>
          <w:lang w:val="en-US" w:eastAsia="zh-CN"/>
        </w:rPr>
        <w:t>年</w:t>
      </w:r>
      <w:r>
        <w:rPr>
          <w:rFonts w:hint="eastAsia" w:ascii="Times New Roman" w:hAnsi="Times New Roman" w:eastAsia="仿宋" w:cs="Times New Roman"/>
          <w:b/>
          <w:bCs/>
          <w:sz w:val="32"/>
          <w:szCs w:val="32"/>
          <w:highlight w:val="none"/>
          <w:lang w:val="en-US" w:eastAsia="zh-CN"/>
        </w:rPr>
        <w:t>3</w:t>
      </w:r>
      <w:r>
        <w:rPr>
          <w:rFonts w:hint="default" w:ascii="Times New Roman" w:hAnsi="Times New Roman" w:eastAsia="仿宋" w:cs="Times New Roman"/>
          <w:b/>
          <w:bCs/>
          <w:sz w:val="32"/>
          <w:szCs w:val="32"/>
          <w:highlight w:val="none"/>
          <w:lang w:val="en-US" w:eastAsia="zh-CN"/>
        </w:rPr>
        <w:t>月</w:t>
      </w:r>
      <w:r>
        <w:rPr>
          <w:rFonts w:hint="eastAsia" w:ascii="Times New Roman" w:hAnsi="Times New Roman" w:eastAsia="仿宋" w:cs="Times New Roman"/>
          <w:b/>
          <w:bCs/>
          <w:sz w:val="32"/>
          <w:szCs w:val="32"/>
          <w:highlight w:val="none"/>
          <w:lang w:val="en-US" w:eastAsia="zh-CN"/>
        </w:rPr>
        <w:t>）</w:t>
      </w:r>
    </w:p>
    <w:p w14:paraId="6DEC8FA1">
      <w:pPr>
        <w:keepNext w:val="0"/>
        <w:keepLines w:val="0"/>
        <w:pageBreakBefore w:val="0"/>
        <w:numPr>
          <w:ilvl w:val="0"/>
          <w:numId w:val="0"/>
        </w:numPr>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（1）2023年</w:t>
      </w:r>
      <w:r>
        <w:rPr>
          <w:rFonts w:hint="eastAsia" w:ascii="Times New Roman" w:hAnsi="Times New Roman" w:eastAsia="仿宋" w:cs="Times New Roman"/>
          <w:sz w:val="32"/>
          <w:szCs w:val="32"/>
          <w:highlight w:val="none"/>
          <w:lang w:val="en-US" w:eastAsia="zh-CN"/>
        </w:rPr>
        <w:t>9</w:t>
      </w:r>
      <w:r>
        <w:rPr>
          <w:rFonts w:hint="default" w:ascii="Times New Roman" w:hAnsi="Times New Roman" w:eastAsia="仿宋" w:cs="Times New Roman"/>
          <w:sz w:val="32"/>
          <w:szCs w:val="32"/>
          <w:highlight w:val="none"/>
          <w:lang w:val="en-US" w:eastAsia="zh-CN"/>
        </w:rPr>
        <w:t>月～2023年</w:t>
      </w:r>
      <w:r>
        <w:rPr>
          <w:rFonts w:hint="eastAsia" w:ascii="Times New Roman" w:hAnsi="Times New Roman" w:eastAsia="仿宋" w:cs="Times New Roman"/>
          <w:sz w:val="32"/>
          <w:szCs w:val="32"/>
          <w:highlight w:val="none"/>
          <w:lang w:val="en-US" w:eastAsia="zh-CN"/>
        </w:rPr>
        <w:t>10</w:t>
      </w:r>
      <w:r>
        <w:rPr>
          <w:rFonts w:hint="default" w:ascii="Times New Roman" w:hAnsi="Times New Roman" w:eastAsia="仿宋" w:cs="Times New Roman"/>
          <w:sz w:val="32"/>
          <w:szCs w:val="32"/>
          <w:highlight w:val="none"/>
          <w:lang w:val="en-US" w:eastAsia="zh-CN"/>
        </w:rPr>
        <w:t>月，项目组</w:t>
      </w:r>
      <w:r>
        <w:rPr>
          <w:rFonts w:hint="eastAsia" w:ascii="Times New Roman" w:hAnsi="Times New Roman" w:eastAsia="仿宋" w:cs="Times New Roman"/>
          <w:sz w:val="32"/>
          <w:szCs w:val="32"/>
          <w:highlight w:val="none"/>
          <w:lang w:val="en-US" w:eastAsia="zh-CN"/>
        </w:rPr>
        <w:t>启动标准调研，发现目前尚未有《江西省农村供水工程信息化建设技术导则》地方标准发布或立项。</w:t>
      </w:r>
    </w:p>
    <w:p w14:paraId="12EF3885">
      <w:pPr>
        <w:keepNext w:val="0"/>
        <w:keepLines w:val="0"/>
        <w:pageBreakBefore w:val="0"/>
        <w:numPr>
          <w:ilvl w:val="0"/>
          <w:numId w:val="0"/>
        </w:numPr>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highlight w:val="none"/>
          <w:lang w:val="en-US" w:eastAsia="zh-CN"/>
        </w:rPr>
        <w:t>（2）2023年</w:t>
      </w:r>
      <w:r>
        <w:rPr>
          <w:rFonts w:hint="eastAsia" w:ascii="Times New Roman" w:hAnsi="Times New Roman" w:eastAsia="仿宋" w:cs="Times New Roman"/>
          <w:sz w:val="32"/>
          <w:szCs w:val="32"/>
          <w:highlight w:val="none"/>
          <w:lang w:val="en-US" w:eastAsia="zh-CN"/>
        </w:rPr>
        <w:t>11</w:t>
      </w:r>
      <w:r>
        <w:rPr>
          <w:rFonts w:hint="default" w:ascii="Times New Roman" w:hAnsi="Times New Roman" w:eastAsia="仿宋" w:cs="Times New Roman"/>
          <w:sz w:val="32"/>
          <w:szCs w:val="32"/>
          <w:highlight w:val="none"/>
          <w:lang w:val="en-US" w:eastAsia="zh-CN"/>
        </w:rPr>
        <w:t>月～202</w:t>
      </w:r>
      <w:r>
        <w:rPr>
          <w:rFonts w:hint="eastAsia" w:ascii="Times New Roman" w:hAnsi="Times New Roman" w:eastAsia="仿宋" w:cs="Times New Roman"/>
          <w:sz w:val="32"/>
          <w:szCs w:val="32"/>
          <w:highlight w:val="none"/>
          <w:lang w:val="en-US" w:eastAsia="zh-CN"/>
        </w:rPr>
        <w:t>4</w:t>
      </w:r>
      <w:r>
        <w:rPr>
          <w:rFonts w:hint="default" w:ascii="Times New Roman" w:hAnsi="Times New Roman" w:eastAsia="仿宋" w:cs="Times New Roman"/>
          <w:sz w:val="32"/>
          <w:szCs w:val="32"/>
          <w:highlight w:val="none"/>
          <w:lang w:val="en-US" w:eastAsia="zh-CN"/>
        </w:rPr>
        <w:t>年</w:t>
      </w:r>
      <w:r>
        <w:rPr>
          <w:rFonts w:hint="eastAsia" w:ascii="Times New Roman" w:hAnsi="Times New Roman" w:eastAsia="仿宋" w:cs="Times New Roman"/>
          <w:sz w:val="32"/>
          <w:szCs w:val="32"/>
          <w:highlight w:val="none"/>
          <w:lang w:val="en-US" w:eastAsia="zh-CN"/>
        </w:rPr>
        <w:t>3</w:t>
      </w:r>
      <w:r>
        <w:rPr>
          <w:rFonts w:hint="default" w:ascii="Times New Roman" w:hAnsi="Times New Roman" w:eastAsia="仿宋" w:cs="Times New Roman"/>
          <w:sz w:val="32"/>
          <w:szCs w:val="32"/>
          <w:highlight w:val="none"/>
          <w:lang w:val="en-US" w:eastAsia="zh-CN"/>
        </w:rPr>
        <w:t>月，</w:t>
      </w:r>
      <w:r>
        <w:rPr>
          <w:rFonts w:hint="eastAsia" w:ascii="Times New Roman" w:hAnsi="Times New Roman" w:eastAsia="仿宋" w:cs="Times New Roman"/>
          <w:sz w:val="32"/>
          <w:szCs w:val="32"/>
          <w:highlight w:val="none"/>
          <w:lang w:val="en-US" w:eastAsia="zh-CN"/>
        </w:rPr>
        <w:t>梳理地方标准研制路径，准备地方标准立项相关材料</w:t>
      </w:r>
      <w:r>
        <w:rPr>
          <w:rFonts w:hint="default" w:ascii="Times New Roman" w:hAnsi="Times New Roman" w:eastAsia="仿宋" w:cs="Times New Roman"/>
          <w:sz w:val="32"/>
          <w:szCs w:val="32"/>
          <w:highlight w:val="none"/>
          <w:lang w:val="en-US" w:eastAsia="zh-CN"/>
        </w:rPr>
        <w:t>。</w:t>
      </w:r>
    </w:p>
    <w:p w14:paraId="7FFCF85A">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10" w:name="_Toc25517"/>
      <w:r>
        <w:rPr>
          <w:rFonts w:hint="default" w:ascii="Times New Roman" w:hAnsi="Times New Roman" w:eastAsia="黑体" w:cs="Times New Roman"/>
          <w:b/>
          <w:sz w:val="32"/>
          <w:szCs w:val="32"/>
          <w:lang w:val="en-US" w:eastAsia="zh-CN"/>
        </w:rPr>
        <w:t>制订标准的必要性和意义</w:t>
      </w:r>
      <w:bookmarkEnd w:id="10"/>
    </w:p>
    <w:p w14:paraId="0B29C2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近年来，随着农村经济的快速发展和人口的不断增长，农村供水需求日益增加，农村饮用水安全问题日益突出，对供水工程的建设和管理提出了更高的要求。传统的供水工程管理模式已难以满足现代农村发展的需要，亟需引入先进的信息技术进行升级改造。</w:t>
      </w:r>
    </w:p>
    <w:p w14:paraId="5A3C42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2020年中央一号文件中指出，要提高农村供水保障水平。而农村供水信息化是强化农村供水工程运行管理、促进设施</w:t>
      </w:r>
      <w:r>
        <w:rPr>
          <w:rFonts w:hint="default" w:ascii="Times New Roman" w:hAnsi="Times New Roman" w:eastAsia="仿宋" w:cs="Times New Roman"/>
          <w:color w:val="auto"/>
          <w:sz w:val="32"/>
          <w:szCs w:val="32"/>
          <w:highlight w:val="none"/>
          <w:lang w:val="en-US" w:eastAsia="zh-CN"/>
        </w:rPr>
        <w:t>高效配置和使用、提升农村饮水安全监管水平的重要途径。《水利部印发2024年农村水利水电工作要点》提出，推进数字孪生农村供水工程建设。继续推进水源和规模化供水工程信息关联匹配，完善农村供水风险图。持续推进以县域为单元建立智慧供水信息平台，推动规模化供水工程水量、水质、水压、取用水计量等关键参数和水泵、药剂投加等主要设备设施实现在线监控，有条件的地区开展全面感知、实时传输、数据分析和智慧应用系统建设先行先试，打造数字孪生供水系统。因此，制定江西省农村供水工程信息化建设技术导则地方标准具有迫切性和必要性。</w:t>
      </w:r>
    </w:p>
    <w:p w14:paraId="7CCDBF5A">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11" w:name="_Toc12730"/>
      <w:r>
        <w:rPr>
          <w:rFonts w:hint="default" w:ascii="Times New Roman" w:hAnsi="Times New Roman" w:eastAsia="黑体" w:cs="Times New Roman"/>
          <w:b/>
          <w:sz w:val="32"/>
          <w:szCs w:val="32"/>
          <w:lang w:val="en-US" w:eastAsia="zh-CN"/>
        </w:rPr>
        <w:t>制订标准的原则和依据</w:t>
      </w:r>
      <w:bookmarkEnd w:id="11"/>
    </w:p>
    <w:p w14:paraId="4C4393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eastAsia" w:ascii="Times New Roman" w:hAnsi="Times New Roman" w:eastAsia="仿宋" w:cs="Times New Roman"/>
          <w:sz w:val="32"/>
          <w:szCs w:val="32"/>
          <w:highlight w:val="none"/>
          <w:lang w:val="en-US" w:eastAsia="zh-CN"/>
        </w:rPr>
        <w:t>本标准</w:t>
      </w:r>
      <w:r>
        <w:rPr>
          <w:rFonts w:hint="default" w:ascii="Times New Roman" w:hAnsi="Times New Roman" w:eastAsia="仿宋" w:cs="Times New Roman"/>
          <w:sz w:val="32"/>
          <w:szCs w:val="32"/>
          <w:highlight w:val="none"/>
          <w:lang w:val="en-US" w:eastAsia="zh-CN"/>
        </w:rPr>
        <w:t>根据GB/T</w:t>
      </w:r>
      <w:r>
        <w:rPr>
          <w:rFonts w:hint="eastAsia" w:ascii="Times New Roman" w:hAnsi="Times New Roman" w:eastAsia="仿宋" w:cs="Times New Roman"/>
          <w:sz w:val="32"/>
          <w:szCs w:val="32"/>
          <w:highlight w:val="none"/>
          <w:lang w:val="en-US" w:eastAsia="zh-CN"/>
        </w:rPr>
        <w:t xml:space="preserve"> </w:t>
      </w:r>
      <w:r>
        <w:rPr>
          <w:rFonts w:hint="default" w:ascii="Times New Roman" w:hAnsi="Times New Roman" w:eastAsia="仿宋" w:cs="Times New Roman"/>
          <w:sz w:val="32"/>
          <w:szCs w:val="32"/>
          <w:highlight w:val="none"/>
          <w:lang w:val="en-US" w:eastAsia="zh-CN"/>
        </w:rPr>
        <w:t>1.1-2020《标准化工作导则</w:t>
      </w:r>
      <w:r>
        <w:rPr>
          <w:rFonts w:hint="eastAsia" w:ascii="Times New Roman" w:hAnsi="Times New Roman" w:eastAsia="仿宋" w:cs="Times New Roman"/>
          <w:sz w:val="32"/>
          <w:szCs w:val="32"/>
          <w:highlight w:val="none"/>
          <w:lang w:val="en-US" w:eastAsia="zh-CN"/>
        </w:rPr>
        <w:t xml:space="preserve"> </w:t>
      </w:r>
      <w:r>
        <w:rPr>
          <w:rFonts w:hint="default" w:ascii="Times New Roman" w:hAnsi="Times New Roman" w:eastAsia="仿宋" w:cs="Times New Roman"/>
          <w:sz w:val="32"/>
          <w:szCs w:val="32"/>
          <w:highlight w:val="none"/>
          <w:lang w:val="en-US" w:eastAsia="zh-CN"/>
        </w:rPr>
        <w:t>第1部分：标准化文件的结构和起草规则》的要求和规定编写。该</w:t>
      </w:r>
      <w:r>
        <w:rPr>
          <w:rFonts w:hint="eastAsia" w:ascii="Times New Roman" w:hAnsi="Times New Roman" w:eastAsia="仿宋" w:cs="Times New Roman"/>
          <w:sz w:val="32"/>
          <w:szCs w:val="32"/>
          <w:highlight w:val="none"/>
          <w:lang w:val="en-US" w:eastAsia="zh-CN"/>
        </w:rPr>
        <w:t>文件</w:t>
      </w:r>
      <w:r>
        <w:rPr>
          <w:rFonts w:hint="default" w:ascii="Times New Roman" w:hAnsi="Times New Roman" w:eastAsia="仿宋" w:cs="Times New Roman"/>
          <w:sz w:val="32"/>
          <w:szCs w:val="32"/>
          <w:highlight w:val="none"/>
          <w:lang w:val="en-US" w:eastAsia="zh-CN"/>
        </w:rPr>
        <w:t>的编写主要参考了国家以及相关行业技术标准以及相关研究成果，本着</w:t>
      </w:r>
      <w:r>
        <w:rPr>
          <w:rFonts w:hint="eastAsia" w:ascii="Times New Roman" w:hAnsi="Times New Roman" w:eastAsia="仿宋" w:cs="Times New Roman"/>
          <w:sz w:val="32"/>
          <w:szCs w:val="32"/>
          <w:highlight w:val="none"/>
          <w:lang w:val="en-US" w:eastAsia="zh-CN"/>
        </w:rPr>
        <w:t>“</w:t>
      </w:r>
      <w:r>
        <w:rPr>
          <w:rFonts w:hint="default" w:ascii="Times New Roman" w:hAnsi="Times New Roman" w:eastAsia="仿宋" w:cs="Times New Roman"/>
          <w:sz w:val="32"/>
          <w:szCs w:val="32"/>
          <w:highlight w:val="none"/>
          <w:lang w:val="en-US" w:eastAsia="zh-CN"/>
        </w:rPr>
        <w:t>顶层设计、标准统一、实事求是、因地制宜，智慧协同、高效管控</w:t>
      </w:r>
      <w:r>
        <w:rPr>
          <w:rFonts w:hint="eastAsia" w:ascii="Times New Roman" w:hAnsi="Times New Roman" w:eastAsia="仿宋" w:cs="Times New Roman"/>
          <w:sz w:val="32"/>
          <w:szCs w:val="32"/>
          <w:highlight w:val="none"/>
          <w:lang w:val="en-US" w:eastAsia="zh-CN"/>
        </w:rPr>
        <w:t>”</w:t>
      </w:r>
      <w:r>
        <w:rPr>
          <w:rFonts w:hint="default" w:ascii="Times New Roman" w:hAnsi="Times New Roman" w:eastAsia="仿宋" w:cs="Times New Roman"/>
          <w:sz w:val="32"/>
          <w:szCs w:val="32"/>
          <w:highlight w:val="none"/>
          <w:lang w:val="en-US" w:eastAsia="zh-CN"/>
        </w:rPr>
        <w:t>的建设原则，统筹发展和安全，坚持稳字当头、稳中求进，全面梳理农村供水安全隐患，健全完善安全生产体系，坚决守住农村供水安全底线。</w:t>
      </w:r>
    </w:p>
    <w:p w14:paraId="292D2CD0">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12" w:name="_Toc26813"/>
      <w:bookmarkStart w:id="13" w:name="_Toc23510"/>
      <w:r>
        <w:rPr>
          <w:rFonts w:hint="default" w:ascii="Times New Roman" w:hAnsi="Times New Roman" w:eastAsia="黑体" w:cs="Times New Roman"/>
          <w:b/>
          <w:sz w:val="32"/>
          <w:szCs w:val="32"/>
          <w:lang w:val="en-US" w:eastAsia="zh-CN"/>
        </w:rPr>
        <w:t>主要条款的说明，主要技术指标、参数、试验验证的描述</w:t>
      </w:r>
      <w:bookmarkEnd w:id="12"/>
      <w:bookmarkEnd w:id="13"/>
    </w:p>
    <w:p w14:paraId="7331F2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《江西省农村供水工程信息化建设技术导则》文件共有</w:t>
      </w:r>
      <w:r>
        <w:rPr>
          <w:rFonts w:hint="eastAsia" w:ascii="Times New Roman" w:hAnsi="Times New Roman" w:eastAsia="仿宋" w:cs="Times New Roman"/>
          <w:color w:val="auto"/>
          <w:sz w:val="32"/>
          <w:szCs w:val="32"/>
          <w:highlight w:val="none"/>
          <w:lang w:val="en-US" w:eastAsia="zh-CN"/>
        </w:rPr>
        <w:t>10章和5个资料性附录，</w:t>
      </w:r>
      <w:r>
        <w:rPr>
          <w:rFonts w:hint="default" w:ascii="Times New Roman" w:hAnsi="Times New Roman" w:eastAsia="仿宋" w:cs="Times New Roman"/>
          <w:color w:val="auto"/>
          <w:sz w:val="32"/>
          <w:szCs w:val="32"/>
          <w:highlight w:val="none"/>
          <w:lang w:val="en-US" w:eastAsia="zh-CN"/>
        </w:rPr>
        <w:t>规定了农村供水工程信息化建设中的自动化监测系统、视频监控系统及信息化管理系统的规划布局、工程施工、安装调试及验收和系统运行维护等的要求。以下就范围</w:t>
      </w:r>
      <w:r>
        <w:rPr>
          <w:rFonts w:hint="eastAsia" w:ascii="Times New Roman" w:hAnsi="Times New Roman" w:eastAsia="仿宋" w:cs="Times New Roman"/>
          <w:color w:val="auto"/>
          <w:sz w:val="32"/>
          <w:szCs w:val="32"/>
          <w:highlight w:val="none"/>
          <w:lang w:val="en-US" w:eastAsia="zh-CN"/>
        </w:rPr>
        <w:t>、总则、监测点设置、自动化监测系统、视频监控系统、信息化管理系统、信息化监管平台、数字孪生平台、系统运行维护</w:t>
      </w:r>
      <w:r>
        <w:rPr>
          <w:rFonts w:hint="default" w:ascii="Times New Roman" w:hAnsi="Times New Roman" w:eastAsia="仿宋" w:cs="Times New Roman"/>
          <w:color w:val="auto"/>
          <w:sz w:val="32"/>
          <w:szCs w:val="32"/>
          <w:highlight w:val="none"/>
          <w:lang w:val="en-US" w:eastAsia="zh-CN"/>
        </w:rPr>
        <w:t>做详细说明。</w:t>
      </w:r>
    </w:p>
    <w:p w14:paraId="740D66C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范围</w:t>
      </w:r>
    </w:p>
    <w:p w14:paraId="0574D0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本标准规定了农村供水工程信息化建设中的自动化监测系统、视频监控系统及信息化管理系统的规划布局、工程施工、安装调试及验收和系统运行维护等的要求，</w:t>
      </w:r>
      <w:r>
        <w:rPr>
          <w:rFonts w:hint="default" w:ascii="Times New Roman" w:hAnsi="Times New Roman" w:eastAsia="仿宋" w:cs="Times New Roman"/>
          <w:color w:val="auto"/>
          <w:sz w:val="32"/>
          <w:szCs w:val="32"/>
          <w:highlight w:val="none"/>
          <w:lang w:val="en-US" w:eastAsia="zh-CN"/>
        </w:rPr>
        <w:t>适用于农村供水工程</w:t>
      </w:r>
      <w:r>
        <w:rPr>
          <w:rFonts w:hint="eastAsia" w:ascii="Times New Roman" w:hAnsi="Times New Roman" w:eastAsia="仿宋" w:cs="Times New Roman"/>
          <w:color w:val="auto"/>
          <w:sz w:val="32"/>
          <w:szCs w:val="32"/>
          <w:highlight w:val="none"/>
          <w:lang w:val="en-US" w:eastAsia="zh-CN"/>
        </w:rPr>
        <w:t>的信息化建设。</w:t>
      </w:r>
    </w:p>
    <w:p w14:paraId="0200161A">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总则</w:t>
      </w:r>
    </w:p>
    <w:p w14:paraId="40327D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农村供水工程信息化建设以解决农村供水的问题为导向，按照“需求牵引、应用至上、数字赋能、提升能力”的要求，聚焦城乡供水一体化与农村集中式供水场景，推进信息化建设和智慧化应用，打造农村供水信息化监管标准，保障供水安全；通过显著提升供水的水质和改善供水服务，进而提高人民的生活质量，推动经济的全面发展。</w:t>
      </w:r>
    </w:p>
    <w:p w14:paraId="53E170E6">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监测点设置</w:t>
      </w:r>
    </w:p>
    <w:p w14:paraId="2D541509">
      <w:pPr>
        <w:spacing w:line="360" w:lineRule="auto"/>
        <w:ind w:firstLine="640" w:firstLineChars="200"/>
        <w:rPr>
          <w:rFonts w:hint="eastAsia" w:ascii="Times New Roman" w:hAnsi="Times New Roman" w:eastAsia="仿宋" w:cs="Times New Roman"/>
          <w:b w:val="0"/>
          <w:bCs w:val="0"/>
          <w:color w:val="auto"/>
          <w:sz w:val="32"/>
          <w:szCs w:val="32"/>
          <w:highlight w:val="none"/>
          <w:lang w:val="en-US" w:eastAsia="zh-CN"/>
        </w:rPr>
      </w:pPr>
      <w:bookmarkStart w:id="14" w:name="OLE_LINK193"/>
      <w:r>
        <w:rPr>
          <w:rFonts w:hint="eastAsia" w:ascii="Times New Roman" w:hAnsi="Times New Roman" w:eastAsia="仿宋" w:cs="Times New Roman"/>
          <w:b w:val="0"/>
          <w:bCs w:val="0"/>
          <w:color w:val="auto"/>
          <w:sz w:val="32"/>
          <w:szCs w:val="32"/>
          <w:highlight w:val="none"/>
          <w:lang w:val="en-US" w:eastAsia="zh-CN"/>
        </w:rPr>
        <w:t>规定了监测点设置的一般规定、监测内容以及监测点选择要求，规范农村供水水源地、水厂、管网、泵站等重点区域进行监测点的设置，对该区域水质、水压、流量等重要参数进行实时监测及远程管理，做到异常事件早预警和早处理，降低水质异常风险，提高异常处理效率，保障农村持续供水。</w:t>
      </w:r>
    </w:p>
    <w:bookmarkEnd w:id="14"/>
    <w:p w14:paraId="4DD32E41">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自动化监测系统</w:t>
      </w:r>
    </w:p>
    <w:p w14:paraId="5C2F3E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color w:val="auto"/>
          <w:lang w:val="en-US" w:eastAsia="zh-CN"/>
        </w:rPr>
      </w:pPr>
      <w:r>
        <w:rPr>
          <w:rFonts w:hint="eastAsia" w:ascii="Times New Roman" w:hAnsi="Times New Roman" w:eastAsia="仿宋" w:cs="Times New Roman"/>
          <w:color w:val="auto"/>
          <w:sz w:val="32"/>
          <w:szCs w:val="32"/>
          <w:highlight w:val="none"/>
          <w:lang w:val="en-US" w:eastAsia="zh-CN"/>
        </w:rPr>
        <w:t>规定了自动化监测系统的一般规定，水源、水厂、输配水、用户端的监控内容及要求，以及监控中心、通信与接口、供电防雷与接地、主要设备选型等要求。通过规范对自动化监控系统的结合传感器、控制器、通信设备、计算机控制等技术进行监视和控制，实现对农村集中供水工程关键技术参数、设施设备运行状态、工艺流程、运行故障等在线监测、控制、预警以及查询、统计、分析等功能。</w:t>
      </w:r>
    </w:p>
    <w:p w14:paraId="5AE4C854">
      <w:pPr>
        <w:pStyle w:val="8"/>
        <w:numPr>
          <w:ilvl w:val="0"/>
          <w:numId w:val="3"/>
        </w:numPr>
        <w:ind w:left="0" w:leftChars="0" w:firstLine="640" w:firstLineChars="200"/>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bCs w:val="0"/>
          <w:color w:val="auto"/>
          <w:spacing w:val="0"/>
          <w:kern w:val="2"/>
          <w:sz w:val="32"/>
          <w:szCs w:val="32"/>
          <w:highlight w:val="none"/>
          <w:lang w:val="en-US" w:eastAsia="zh-CN" w:bidi="ar-SA"/>
        </w:rPr>
        <w:t>视频监控系统</w:t>
      </w:r>
    </w:p>
    <w:p w14:paraId="095390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视频监控是对农村供水生产过程和供水工程公共安全区进行安防监控，分为生产监控和安全监控。生产监控是满足农村供水生产主要环节的安防监控及向上级系统提供安防监控的需求；安全监控是满足农村供水厂（站）公共安全区监控及向上级有关部门提供安防监控的需求。所以本标准规定了视频监控系统的一般规定、视频监控内容及要求，以及供电防雷与接地、主要设备选型等要求。</w:t>
      </w:r>
    </w:p>
    <w:p w14:paraId="1F2F4A85">
      <w:pPr>
        <w:pStyle w:val="8"/>
        <w:numPr>
          <w:ilvl w:val="0"/>
          <w:numId w:val="3"/>
        </w:numPr>
        <w:ind w:left="0" w:leftChars="0" w:firstLine="640" w:firstLineChars="200"/>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bCs w:val="0"/>
          <w:color w:val="auto"/>
          <w:spacing w:val="0"/>
          <w:kern w:val="2"/>
          <w:sz w:val="32"/>
          <w:szCs w:val="32"/>
          <w:highlight w:val="none"/>
          <w:lang w:val="en-US" w:eastAsia="zh-CN" w:bidi="ar-SA"/>
        </w:rPr>
        <w:t>信息化管理系统</w:t>
      </w:r>
    </w:p>
    <w:p w14:paraId="1BA3F9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color w:val="auto"/>
          <w:sz w:val="32"/>
          <w:szCs w:val="32"/>
          <w:highlight w:val="none"/>
          <w:lang w:val="en-US" w:eastAsia="zh-CN"/>
        </w:rPr>
        <w:t>信息化管理系统是以水厂自动化监测系统、网络通信系统、数据分析模型等为基础，构建可满足所辖水厂的农村供水信息采集、传输、存储、分析、决策、应用、管理与共享为目标的管理平台。本标准规定了信息化管理系统的一般规定、系统功能、系统性能等要求。</w:t>
      </w:r>
    </w:p>
    <w:p w14:paraId="5CDEC971">
      <w:pPr>
        <w:pStyle w:val="8"/>
        <w:numPr>
          <w:ilvl w:val="0"/>
          <w:numId w:val="3"/>
        </w:numPr>
        <w:ind w:left="0" w:leftChars="0" w:firstLine="640" w:firstLineChars="200"/>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bCs w:val="0"/>
          <w:color w:val="auto"/>
          <w:spacing w:val="0"/>
          <w:kern w:val="2"/>
          <w:sz w:val="32"/>
          <w:szCs w:val="32"/>
          <w:highlight w:val="none"/>
          <w:lang w:val="en-US" w:eastAsia="zh-CN" w:bidi="ar-SA"/>
        </w:rPr>
        <w:t>信息化监管平台</w:t>
      </w:r>
    </w:p>
    <w:p w14:paraId="2C9F78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color w:val="auto"/>
          <w:sz w:val="32"/>
          <w:szCs w:val="32"/>
          <w:highlight w:val="none"/>
          <w:lang w:val="en-US" w:eastAsia="zh-CN"/>
        </w:rPr>
        <w:t>信息化监管平台是以水厂自动化监测系统和信息管理系统为基础，构建对一定区域范围内农村供水信息采集、共享与管理、在线监测、监视等为目标的平台，包括县区级、市级和省级。本标准规定了信息化监管平台的一般规定、系统功能、数据规范等要求。</w:t>
      </w:r>
    </w:p>
    <w:p w14:paraId="6E8DA22C">
      <w:pPr>
        <w:pStyle w:val="8"/>
        <w:numPr>
          <w:ilvl w:val="0"/>
          <w:numId w:val="3"/>
        </w:numPr>
        <w:ind w:left="0" w:leftChars="0" w:firstLine="640" w:firstLineChars="200"/>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bCs w:val="0"/>
          <w:color w:val="auto"/>
          <w:spacing w:val="0"/>
          <w:kern w:val="2"/>
          <w:sz w:val="32"/>
          <w:szCs w:val="32"/>
          <w:highlight w:val="none"/>
          <w:lang w:val="en-US" w:eastAsia="zh-CN" w:bidi="ar-SA"/>
        </w:rPr>
        <w:t>数字孪生平台</w:t>
      </w:r>
    </w:p>
    <w:p w14:paraId="3844AC91">
      <w:pPr>
        <w:pStyle w:val="8"/>
        <w:keepNext w:val="0"/>
        <w:keepLines w:val="0"/>
        <w:pageBreakBefore w:val="0"/>
        <w:widowControl w:val="0"/>
        <w:numPr>
          <w:ilvl w:val="-1"/>
          <w:numId w:val="0"/>
        </w:numPr>
        <w:kinsoku/>
        <w:wordWrap/>
        <w:overflowPunct/>
        <w:topLinePunct w:val="0"/>
        <w:autoSpaceDE/>
        <w:autoSpaceDN/>
        <w:bidi w:val="0"/>
        <w:adjustRightInd/>
        <w:snapToGrid/>
        <w:spacing w:line="560" w:lineRule="exact"/>
        <w:ind w:leftChars="0" w:firstLine="640" w:firstLineChars="200"/>
        <w:jc w:val="both"/>
        <w:textAlignment w:val="auto"/>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bCs w:val="0"/>
          <w:color w:val="auto"/>
          <w:spacing w:val="0"/>
          <w:kern w:val="2"/>
          <w:sz w:val="32"/>
          <w:szCs w:val="32"/>
          <w:highlight w:val="none"/>
          <w:lang w:val="en-US" w:eastAsia="zh-CN" w:bidi="ar-SA"/>
        </w:rPr>
        <w:t>数字孪生平台</w:t>
      </w:r>
      <w:r>
        <w:rPr>
          <w:rFonts w:hint="eastAsia" w:ascii="Times New Roman" w:hAnsi="Times New Roman" w:eastAsia="仿宋" w:cs="Times New Roman"/>
          <w:color w:val="auto"/>
          <w:sz w:val="32"/>
          <w:szCs w:val="32"/>
          <w:highlight w:val="none"/>
          <w:lang w:val="en-US" w:eastAsia="zh-CN"/>
        </w:rPr>
        <w:t>结合数字孪生技术，融合利用现有信息系统，在数据底板和孪生引擎的基础上，融合基础数据、监测数据、业务管理数据、共享数据等，实现孪生管网模拟、设备拆解、视频融合、水厂高精度还原、供水过程、监测数据映射等功能。本标准规定了</w:t>
      </w:r>
      <w:r>
        <w:rPr>
          <w:rFonts w:hint="eastAsia" w:ascii="Times New Roman" w:hAnsi="Times New Roman" w:eastAsia="仿宋" w:cs="Times New Roman"/>
          <w:bCs w:val="0"/>
          <w:color w:val="auto"/>
          <w:spacing w:val="0"/>
          <w:kern w:val="2"/>
          <w:sz w:val="32"/>
          <w:szCs w:val="32"/>
          <w:highlight w:val="none"/>
          <w:lang w:val="en-US" w:eastAsia="zh-CN" w:bidi="ar-SA"/>
        </w:rPr>
        <w:t>数字孪生平台</w:t>
      </w:r>
      <w:r>
        <w:rPr>
          <w:rFonts w:hint="eastAsia" w:ascii="Times New Roman" w:hAnsi="Times New Roman" w:eastAsia="仿宋" w:cs="Times New Roman"/>
          <w:color w:val="auto"/>
          <w:sz w:val="32"/>
          <w:szCs w:val="32"/>
          <w:highlight w:val="none"/>
          <w:lang w:val="en-US" w:eastAsia="zh-CN"/>
        </w:rPr>
        <w:t>的一般规定、数据底板、孪生引擎、孪生应用等要求。</w:t>
      </w:r>
    </w:p>
    <w:p w14:paraId="07F7DF75">
      <w:pPr>
        <w:pStyle w:val="8"/>
        <w:numPr>
          <w:ilvl w:val="0"/>
          <w:numId w:val="3"/>
        </w:numPr>
        <w:ind w:left="0" w:leftChars="0" w:firstLine="640" w:firstLineChars="200"/>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bCs w:val="0"/>
          <w:color w:val="auto"/>
          <w:spacing w:val="0"/>
          <w:kern w:val="2"/>
          <w:sz w:val="32"/>
          <w:szCs w:val="32"/>
          <w:highlight w:val="none"/>
          <w:lang w:val="en-US" w:eastAsia="zh-CN" w:bidi="ar-SA"/>
        </w:rPr>
        <w:t>安装调试及验收</w:t>
      </w:r>
    </w:p>
    <w:p w14:paraId="32C2F51B">
      <w:pPr>
        <w:pStyle w:val="8"/>
        <w:numPr>
          <w:ilvl w:val="-1"/>
          <w:numId w:val="0"/>
        </w:numPr>
        <w:ind w:left="0" w:leftChars="0" w:firstLine="680" w:firstLineChars="200"/>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color w:val="auto"/>
          <w:sz w:val="32"/>
          <w:szCs w:val="32"/>
          <w:highlight w:val="none"/>
          <w:lang w:val="en-US" w:eastAsia="zh-CN"/>
        </w:rPr>
        <w:t>本标准规定了</w:t>
      </w:r>
      <w:r>
        <w:rPr>
          <w:rFonts w:hint="eastAsia" w:ascii="Times New Roman" w:hAnsi="Times New Roman" w:eastAsia="仿宋" w:cs="Times New Roman"/>
          <w:bCs w:val="0"/>
          <w:color w:val="auto"/>
          <w:spacing w:val="0"/>
          <w:kern w:val="2"/>
          <w:sz w:val="32"/>
          <w:szCs w:val="32"/>
          <w:highlight w:val="none"/>
          <w:lang w:val="en-US" w:eastAsia="zh-CN" w:bidi="ar-SA"/>
        </w:rPr>
        <w:t>安装调试及验收</w:t>
      </w:r>
      <w:r>
        <w:rPr>
          <w:rFonts w:hint="eastAsia" w:ascii="Times New Roman" w:hAnsi="Times New Roman" w:eastAsia="仿宋" w:cs="Times New Roman"/>
          <w:color w:val="auto"/>
          <w:sz w:val="32"/>
          <w:szCs w:val="32"/>
          <w:highlight w:val="none"/>
          <w:lang w:val="en-US" w:eastAsia="zh-CN"/>
        </w:rPr>
        <w:t>的一般规定、设备安装、系统调试、项目验收等要求。</w:t>
      </w:r>
    </w:p>
    <w:p w14:paraId="00E1DFFE">
      <w:pPr>
        <w:pStyle w:val="8"/>
        <w:numPr>
          <w:ilvl w:val="0"/>
          <w:numId w:val="3"/>
        </w:numPr>
        <w:ind w:left="0" w:leftChars="0" w:firstLine="640" w:firstLineChars="200"/>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bCs w:val="0"/>
          <w:color w:val="auto"/>
          <w:spacing w:val="0"/>
          <w:kern w:val="2"/>
          <w:sz w:val="32"/>
          <w:szCs w:val="32"/>
          <w:highlight w:val="none"/>
          <w:lang w:val="en-US" w:eastAsia="zh-CN" w:bidi="ar-SA"/>
        </w:rPr>
        <w:t>系统运行维护</w:t>
      </w:r>
    </w:p>
    <w:p w14:paraId="7956DC9F">
      <w:pPr>
        <w:spacing w:line="360" w:lineRule="auto"/>
        <w:ind w:firstLine="640" w:firstLineChars="200"/>
        <w:rPr>
          <w:rFonts w:hint="default" w:ascii="Times New Roman" w:hAnsi="Times New Roman" w:eastAsia="仿宋" w:cs="Times New Roman"/>
          <w:bCs w:val="0"/>
          <w:color w:val="auto"/>
          <w:spacing w:val="0"/>
          <w:kern w:val="2"/>
          <w:sz w:val="32"/>
          <w:szCs w:val="32"/>
          <w:highlight w:val="none"/>
          <w:lang w:val="en-US" w:eastAsia="zh-CN" w:bidi="ar-SA"/>
        </w:rPr>
      </w:pPr>
      <w:r>
        <w:rPr>
          <w:rFonts w:hint="eastAsia" w:ascii="Times New Roman" w:hAnsi="Times New Roman" w:eastAsia="仿宋" w:cs="Times New Roman"/>
          <w:color w:val="auto"/>
          <w:sz w:val="32"/>
          <w:szCs w:val="32"/>
          <w:highlight w:val="none"/>
          <w:lang w:val="en-US" w:eastAsia="zh-CN"/>
        </w:rPr>
        <w:t>本标准主要针对农村供水工程的在线监测设备和已建信息系统的维护检修制度，包含日常运行维护、定期运行维护、软件运行维护、控制柜运行维护、仪表运行维护、通信设施设备运行维护、控制中心运行维护、防雷维护等。持续分析在线监测数据的合理性和有效性，针对故障进行现场排除。所以规定了</w:t>
      </w:r>
      <w:r>
        <w:rPr>
          <w:rFonts w:hint="eastAsia" w:ascii="Times New Roman" w:hAnsi="Times New Roman" w:eastAsia="仿宋" w:cs="Times New Roman"/>
          <w:bCs w:val="0"/>
          <w:color w:val="auto"/>
          <w:spacing w:val="0"/>
          <w:kern w:val="2"/>
          <w:sz w:val="32"/>
          <w:szCs w:val="32"/>
          <w:highlight w:val="none"/>
          <w:lang w:val="en-US" w:eastAsia="zh-CN" w:bidi="ar-SA"/>
        </w:rPr>
        <w:t>系统运行维护</w:t>
      </w:r>
      <w:r>
        <w:rPr>
          <w:rFonts w:hint="eastAsia" w:ascii="Times New Roman" w:hAnsi="Times New Roman" w:eastAsia="仿宋" w:cs="Times New Roman"/>
          <w:color w:val="auto"/>
          <w:sz w:val="32"/>
          <w:szCs w:val="32"/>
          <w:highlight w:val="none"/>
          <w:lang w:val="en-US" w:eastAsia="zh-CN"/>
        </w:rPr>
        <w:t>的一般规定、运行维护、故障处理、人员培训等要求，保障信息管理平台安全、持续、可靠、有效运行。</w:t>
      </w:r>
    </w:p>
    <w:p w14:paraId="480B2CE5">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15" w:name="_Toc27119"/>
      <w:r>
        <w:rPr>
          <w:rFonts w:hint="default" w:ascii="Times New Roman" w:hAnsi="Times New Roman" w:eastAsia="黑体" w:cs="Times New Roman"/>
          <w:b/>
          <w:sz w:val="32"/>
          <w:szCs w:val="32"/>
          <w:lang w:val="en-US" w:eastAsia="zh-CN"/>
        </w:rPr>
        <w:t>与国内外同类标准水平的对比分析</w:t>
      </w:r>
      <w:bookmarkEnd w:id="15"/>
    </w:p>
    <w:p w14:paraId="1115CF1B">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近年来，随着农村饮用水安全问题的日益突出，农村供水信息化的重视程度不断提升，为了推动农村供水信息化的建设，新疆、浙江等地市相继出台了一系列政策文件和标准规范，收到了一定的成效。但适用在我省仍然存在一些问题和挑战，一方面，由于我省地域辽阔，农村地区情况复杂多样，不同地区的供水信息化发展水平存在较大差异，导致标准的适用性和可操作性有待提高。另一方面，当前的标准体系尚不够完善，部分环节还存在标准缺失的情况，难以满足我省农村供水信息化快速发展的需求。经查，目前尚未有农村供水工程信息化建设技术规范方面的国标、行标和地标。</w:t>
      </w:r>
    </w:p>
    <w:p w14:paraId="5BF0C019">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本次制定的《江西省农村供水工程信息化建设技术导则》，充分吸收了我省近年来农村集中供水工程信息化建设及管理成果，主要内容与信息化建设的要求一脉相承，对全省农村集中供水工程的信息化建设具有更强的指导作用。</w:t>
      </w:r>
    </w:p>
    <w:p w14:paraId="0FCC9307">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16" w:name="_Toc16954"/>
      <w:bookmarkStart w:id="17" w:name="_Toc32455"/>
      <w:r>
        <w:rPr>
          <w:rFonts w:hint="default" w:ascii="Times New Roman" w:hAnsi="Times New Roman" w:eastAsia="黑体" w:cs="Times New Roman"/>
          <w:b/>
          <w:sz w:val="32"/>
          <w:szCs w:val="32"/>
          <w:lang w:val="en-US" w:eastAsia="zh-CN"/>
        </w:rPr>
        <w:t>标准中如果涉及专利，应有明确的知识产权说明</w:t>
      </w:r>
      <w:bookmarkEnd w:id="16"/>
      <w:bookmarkEnd w:id="17"/>
    </w:p>
    <w:p w14:paraId="48E3DBC6">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val="en-US" w:eastAsia="zh-CN"/>
        </w:rPr>
      </w:pPr>
      <w:r>
        <w:rPr>
          <w:rFonts w:hint="eastAsia" w:ascii="Times New Roman" w:hAnsi="Times New Roman" w:eastAsia="仿宋" w:cs="Times New Roman"/>
          <w:bCs/>
          <w:sz w:val="32"/>
          <w:szCs w:val="32"/>
          <w:lang w:val="en-US" w:eastAsia="zh-CN"/>
        </w:rPr>
        <w:t>本标准</w:t>
      </w:r>
      <w:r>
        <w:rPr>
          <w:rFonts w:hint="default" w:ascii="Times New Roman" w:hAnsi="Times New Roman" w:eastAsia="仿宋" w:cs="Times New Roman"/>
          <w:bCs/>
          <w:sz w:val="32"/>
          <w:szCs w:val="32"/>
          <w:lang w:val="en-US" w:eastAsia="zh-CN"/>
        </w:rPr>
        <w:t>不存在标准必要专利的问题。</w:t>
      </w:r>
    </w:p>
    <w:p w14:paraId="2C8915DE">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18" w:name="_Toc5506"/>
      <w:r>
        <w:rPr>
          <w:rFonts w:hint="default" w:ascii="Times New Roman" w:hAnsi="Times New Roman" w:eastAsia="黑体" w:cs="Times New Roman"/>
          <w:b/>
          <w:sz w:val="32"/>
          <w:szCs w:val="32"/>
          <w:lang w:val="en-US" w:eastAsia="zh-CN"/>
        </w:rPr>
        <w:t>预期达到的社会效益、对产业发展的作用情况</w:t>
      </w:r>
      <w:bookmarkEnd w:id="18"/>
    </w:p>
    <w:p w14:paraId="76101E77">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val="en-US" w:eastAsia="zh-CN"/>
        </w:rPr>
      </w:pPr>
      <w:r>
        <w:rPr>
          <w:rFonts w:hint="eastAsia" w:ascii="Times New Roman" w:hAnsi="Times New Roman" w:eastAsia="仿宋" w:cs="Times New Roman"/>
          <w:bCs/>
          <w:sz w:val="32"/>
          <w:szCs w:val="32"/>
          <w:lang w:val="en-US" w:eastAsia="zh-CN"/>
        </w:rPr>
        <w:t>本标准</w:t>
      </w:r>
      <w:r>
        <w:rPr>
          <w:rFonts w:hint="default" w:ascii="Times New Roman" w:hAnsi="Times New Roman" w:eastAsia="仿宋" w:cs="Times New Roman"/>
          <w:bCs/>
          <w:sz w:val="32"/>
          <w:szCs w:val="32"/>
          <w:lang w:val="en-US" w:eastAsia="zh-CN"/>
        </w:rPr>
        <w:t>规定了农村供水工程信息化建设的主要技术</w:t>
      </w:r>
      <w:r>
        <w:rPr>
          <w:rFonts w:hint="eastAsia" w:ascii="Times New Roman" w:hAnsi="Times New Roman" w:eastAsia="仿宋" w:cs="Times New Roman"/>
          <w:bCs/>
          <w:sz w:val="32"/>
          <w:szCs w:val="32"/>
          <w:lang w:val="en-US" w:eastAsia="zh-CN"/>
        </w:rPr>
        <w:t>要求</w:t>
      </w:r>
      <w:r>
        <w:rPr>
          <w:rFonts w:hint="default" w:ascii="Times New Roman" w:hAnsi="Times New Roman" w:eastAsia="仿宋" w:cs="Times New Roman"/>
          <w:bCs/>
          <w:sz w:val="32"/>
          <w:szCs w:val="32"/>
          <w:lang w:val="en-US" w:eastAsia="zh-CN"/>
        </w:rPr>
        <w:t>，为指导农村供水工程信息化建设工作提供了依据，对开展农村供水工程信息化建设工作起到了积极地推进作用。</w:t>
      </w:r>
    </w:p>
    <w:p w14:paraId="377D8085">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19" w:name="_Toc1668"/>
      <w:bookmarkStart w:id="20" w:name="_Toc22910"/>
      <w:r>
        <w:rPr>
          <w:rFonts w:hint="default" w:ascii="Times New Roman" w:hAnsi="Times New Roman" w:eastAsia="黑体" w:cs="Times New Roman"/>
          <w:b/>
          <w:sz w:val="32"/>
          <w:szCs w:val="32"/>
          <w:lang w:val="en-US" w:eastAsia="zh-CN"/>
        </w:rPr>
        <w:t>采用国际标准和国外先进标准情况</w:t>
      </w:r>
      <w:bookmarkEnd w:id="19"/>
      <w:bookmarkEnd w:id="20"/>
    </w:p>
    <w:p w14:paraId="6939EEB6">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val="en-US" w:eastAsia="zh-CN"/>
        </w:rPr>
      </w:pPr>
      <w:r>
        <w:rPr>
          <w:rFonts w:hint="eastAsia" w:ascii="Times New Roman" w:hAnsi="Times New Roman" w:eastAsia="仿宋" w:cs="Times New Roman"/>
          <w:bCs/>
          <w:sz w:val="32"/>
          <w:szCs w:val="32"/>
          <w:lang w:eastAsia="zh-CN"/>
        </w:rPr>
        <w:t>本标准</w:t>
      </w:r>
      <w:r>
        <w:rPr>
          <w:rFonts w:hint="default" w:ascii="Times New Roman" w:hAnsi="Times New Roman" w:eastAsia="仿宋" w:cs="Times New Roman"/>
          <w:bCs/>
          <w:sz w:val="32"/>
          <w:szCs w:val="32"/>
          <w:lang w:eastAsia="zh-CN"/>
        </w:rPr>
        <w:t>项目暂无对应的国际标准或国外先进标准。</w:t>
      </w:r>
    </w:p>
    <w:p w14:paraId="2D539544">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21" w:name="_Toc7476"/>
      <w:r>
        <w:rPr>
          <w:rFonts w:hint="default" w:ascii="Times New Roman" w:hAnsi="Times New Roman" w:eastAsia="黑体" w:cs="Times New Roman"/>
          <w:b/>
          <w:sz w:val="32"/>
          <w:szCs w:val="32"/>
          <w:lang w:val="en-US" w:eastAsia="zh-CN"/>
        </w:rPr>
        <w:t>与现行有关法律、法规和强制性标准的关系</w:t>
      </w:r>
      <w:bookmarkEnd w:id="21"/>
    </w:p>
    <w:p w14:paraId="0529806C">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本标准</w:t>
      </w:r>
      <w:r>
        <w:rPr>
          <w:rFonts w:hint="default" w:ascii="Times New Roman" w:hAnsi="Times New Roman" w:eastAsia="仿宋" w:cs="Times New Roman"/>
          <w:sz w:val="32"/>
          <w:szCs w:val="32"/>
          <w:lang w:val="en-US" w:eastAsia="zh-CN"/>
        </w:rPr>
        <w:t>是在遵循国家相关的法律法规和强制性标准的前提下，结合地方实际并根据我省农村集中供水工程信息化建设实际特点而制订的，因此与现行法律法规没有冲突。</w:t>
      </w:r>
    </w:p>
    <w:p w14:paraId="7BF8F539">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22" w:name="_Toc27265"/>
      <w:r>
        <w:rPr>
          <w:rFonts w:hint="default" w:ascii="Times New Roman" w:hAnsi="Times New Roman" w:eastAsia="黑体" w:cs="Times New Roman"/>
          <w:b/>
          <w:sz w:val="32"/>
          <w:szCs w:val="32"/>
        </w:rPr>
        <w:t>标准性质建议与说明</w:t>
      </w:r>
      <w:bookmarkEnd w:id="22"/>
    </w:p>
    <w:p w14:paraId="5D020BC5">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sz w:val="32"/>
          <w:szCs w:val="32"/>
          <w:lang w:eastAsia="zh-CN"/>
        </w:rPr>
      </w:pPr>
      <w:r>
        <w:rPr>
          <w:rFonts w:hint="eastAsia" w:ascii="Times New Roman" w:hAnsi="Times New Roman" w:eastAsia="仿宋" w:cs="Times New Roman"/>
          <w:bCs/>
          <w:sz w:val="32"/>
          <w:szCs w:val="32"/>
          <w:lang w:eastAsia="zh-CN"/>
        </w:rPr>
        <w:t>本标准</w:t>
      </w:r>
      <w:r>
        <w:rPr>
          <w:rFonts w:hint="default" w:ascii="Times New Roman" w:hAnsi="Times New Roman" w:eastAsia="仿宋" w:cs="Times New Roman"/>
          <w:sz w:val="32"/>
          <w:szCs w:val="32"/>
        </w:rPr>
        <w:t>以全省</w:t>
      </w:r>
      <w:r>
        <w:rPr>
          <w:rFonts w:hint="default" w:ascii="Times New Roman" w:hAnsi="Times New Roman" w:eastAsia="仿宋" w:cs="Times New Roman"/>
          <w:sz w:val="32"/>
          <w:szCs w:val="32"/>
          <w:lang w:eastAsia="zh-CN"/>
        </w:rPr>
        <w:t>农村集中供水工程</w:t>
      </w:r>
      <w:r>
        <w:rPr>
          <w:rFonts w:hint="default" w:ascii="Times New Roman" w:hAnsi="Times New Roman" w:eastAsia="仿宋" w:cs="Times New Roman"/>
          <w:sz w:val="32"/>
          <w:szCs w:val="32"/>
          <w:lang w:val="en-US" w:eastAsia="zh-CN"/>
        </w:rPr>
        <w:t>信息化建设</w:t>
      </w:r>
      <w:r>
        <w:rPr>
          <w:rFonts w:hint="default" w:ascii="Times New Roman" w:hAnsi="Times New Roman" w:eastAsia="仿宋" w:cs="Times New Roman"/>
          <w:sz w:val="32"/>
          <w:szCs w:val="32"/>
        </w:rPr>
        <w:t>为背景，融合了全省</w:t>
      </w:r>
      <w:r>
        <w:rPr>
          <w:rFonts w:hint="default" w:ascii="Times New Roman" w:hAnsi="Times New Roman" w:eastAsia="仿宋" w:cs="Times New Roman"/>
          <w:sz w:val="32"/>
          <w:szCs w:val="32"/>
          <w:lang w:eastAsia="zh-CN"/>
        </w:rPr>
        <w:t>农村集中供水工程</w:t>
      </w:r>
      <w:r>
        <w:rPr>
          <w:rFonts w:hint="default" w:ascii="Times New Roman" w:hAnsi="Times New Roman" w:eastAsia="仿宋" w:cs="Times New Roman"/>
          <w:sz w:val="32"/>
          <w:szCs w:val="32"/>
          <w:lang w:val="en-US" w:eastAsia="zh-CN"/>
        </w:rPr>
        <w:t>信息化建设</w:t>
      </w:r>
      <w:r>
        <w:rPr>
          <w:rFonts w:hint="default" w:ascii="Times New Roman" w:hAnsi="Times New Roman" w:eastAsia="仿宋" w:cs="Times New Roman"/>
          <w:sz w:val="32"/>
          <w:szCs w:val="32"/>
          <w:lang w:eastAsia="zh-CN"/>
        </w:rPr>
        <w:t>的好经验好做法</w:t>
      </w:r>
      <w:r>
        <w:rPr>
          <w:rFonts w:hint="default" w:ascii="Times New Roman" w:hAnsi="Times New Roman" w:eastAsia="仿宋" w:cs="Times New Roman"/>
          <w:sz w:val="32"/>
          <w:szCs w:val="32"/>
        </w:rPr>
        <w:t>，符合全省</w:t>
      </w:r>
      <w:r>
        <w:rPr>
          <w:rFonts w:hint="default" w:ascii="Times New Roman" w:hAnsi="Times New Roman" w:eastAsia="仿宋" w:cs="Times New Roman"/>
          <w:sz w:val="32"/>
          <w:szCs w:val="32"/>
          <w:lang w:eastAsia="zh-CN"/>
        </w:rPr>
        <w:t>农村集中供水工程</w:t>
      </w:r>
      <w:r>
        <w:rPr>
          <w:rFonts w:hint="default" w:ascii="Times New Roman" w:hAnsi="Times New Roman" w:eastAsia="仿宋" w:cs="Times New Roman"/>
          <w:sz w:val="32"/>
          <w:szCs w:val="32"/>
          <w:lang w:val="en-US" w:eastAsia="zh-CN"/>
        </w:rPr>
        <w:t>信息化建设</w:t>
      </w:r>
      <w:r>
        <w:rPr>
          <w:rFonts w:hint="default" w:ascii="Times New Roman" w:hAnsi="Times New Roman" w:eastAsia="仿宋" w:cs="Times New Roman"/>
          <w:sz w:val="32"/>
          <w:szCs w:val="32"/>
        </w:rPr>
        <w:t>现状。</w:t>
      </w:r>
      <w:r>
        <w:rPr>
          <w:rFonts w:hint="default" w:ascii="Times New Roman" w:hAnsi="Times New Roman" w:eastAsia="仿宋" w:cs="Times New Roman"/>
          <w:bCs/>
          <w:sz w:val="32"/>
          <w:szCs w:val="32"/>
          <w:lang w:val="en-US" w:eastAsia="zh-CN"/>
        </w:rPr>
        <w:t>建议</w:t>
      </w:r>
      <w:r>
        <w:rPr>
          <w:rFonts w:hint="default" w:ascii="Times New Roman" w:hAnsi="Times New Roman" w:eastAsia="仿宋" w:cs="Times New Roman"/>
          <w:sz w:val="32"/>
          <w:szCs w:val="32"/>
          <w:lang w:eastAsia="zh-CN"/>
        </w:rPr>
        <w:t>该</w:t>
      </w:r>
      <w:r>
        <w:rPr>
          <w:rFonts w:hint="default" w:ascii="Times New Roman" w:hAnsi="Times New Roman" w:eastAsia="仿宋" w:cs="Times New Roman"/>
          <w:bCs/>
          <w:sz w:val="32"/>
          <w:szCs w:val="32"/>
          <w:lang w:val="en-US" w:eastAsia="zh-CN"/>
        </w:rPr>
        <w:t>标准</w:t>
      </w:r>
      <w:r>
        <w:rPr>
          <w:rFonts w:hint="default" w:ascii="Times New Roman" w:hAnsi="Times New Roman" w:eastAsia="仿宋" w:cs="Times New Roman"/>
          <w:sz w:val="32"/>
          <w:szCs w:val="32"/>
        </w:rPr>
        <w:t>作为推荐性标准发布实施</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bCs/>
          <w:sz w:val="32"/>
          <w:szCs w:val="32"/>
        </w:rPr>
        <w:t>供</w:t>
      </w:r>
      <w:r>
        <w:rPr>
          <w:rFonts w:hint="default" w:ascii="Times New Roman" w:hAnsi="Times New Roman" w:eastAsia="仿宋" w:cs="Times New Roman"/>
          <w:bCs/>
          <w:sz w:val="32"/>
          <w:szCs w:val="32"/>
          <w:lang w:val="en-US" w:eastAsia="zh-CN"/>
        </w:rPr>
        <w:t>江西省范围</w:t>
      </w:r>
      <w:r>
        <w:rPr>
          <w:rFonts w:hint="default" w:ascii="Times New Roman" w:hAnsi="Times New Roman" w:eastAsia="仿宋" w:cs="Times New Roman"/>
          <w:bCs/>
          <w:sz w:val="32"/>
          <w:szCs w:val="32"/>
        </w:rPr>
        <w:t>内相关企业和单位自愿使用。</w:t>
      </w:r>
    </w:p>
    <w:p w14:paraId="2E57003B">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23" w:name="_Toc8959"/>
      <w:bookmarkStart w:id="24" w:name="_Toc1087"/>
      <w:r>
        <w:rPr>
          <w:rFonts w:hint="default" w:ascii="Times New Roman" w:hAnsi="Times New Roman" w:eastAsia="黑体" w:cs="Times New Roman"/>
          <w:b/>
          <w:sz w:val="32"/>
          <w:szCs w:val="32"/>
          <w:lang w:val="en-US" w:eastAsia="zh-CN"/>
        </w:rPr>
        <w:t>重大分歧意见的处理经过和依据</w:t>
      </w:r>
      <w:bookmarkEnd w:id="23"/>
      <w:bookmarkEnd w:id="24"/>
    </w:p>
    <w:p w14:paraId="325789E5">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eastAsia="zh-CN"/>
        </w:rPr>
      </w:pPr>
      <w:r>
        <w:rPr>
          <w:rFonts w:hint="eastAsia" w:ascii="Times New Roman" w:hAnsi="Times New Roman" w:eastAsia="仿宋" w:cs="Times New Roman"/>
          <w:bCs/>
          <w:sz w:val="32"/>
          <w:szCs w:val="32"/>
          <w:lang w:eastAsia="zh-CN"/>
        </w:rPr>
        <w:t>本标准</w:t>
      </w:r>
      <w:r>
        <w:rPr>
          <w:rFonts w:hint="default" w:ascii="Times New Roman" w:hAnsi="Times New Roman" w:eastAsia="仿宋" w:cs="Times New Roman"/>
          <w:bCs/>
          <w:sz w:val="32"/>
          <w:szCs w:val="32"/>
          <w:lang w:eastAsia="zh-CN"/>
        </w:rPr>
        <w:t>未产生重大分歧意见。</w:t>
      </w:r>
    </w:p>
    <w:p w14:paraId="4B47A07D">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25" w:name="_Toc6983"/>
      <w:bookmarkStart w:id="26" w:name="_Toc10405"/>
      <w:r>
        <w:rPr>
          <w:rFonts w:hint="default" w:ascii="Times New Roman" w:hAnsi="Times New Roman" w:eastAsia="黑体" w:cs="Times New Roman"/>
          <w:b/>
          <w:sz w:val="32"/>
          <w:szCs w:val="32"/>
          <w:lang w:val="en-US" w:eastAsia="zh-CN"/>
        </w:rPr>
        <w:t>贯彻标准的要求和措施建议（包括组织措施、技术措施、过渡办法等内容）</w:t>
      </w:r>
      <w:bookmarkEnd w:id="25"/>
      <w:bookmarkEnd w:id="26"/>
    </w:p>
    <w:p w14:paraId="1CCE67FD">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eastAsia="zh-CN"/>
        </w:rPr>
      </w:pPr>
      <w:r>
        <w:rPr>
          <w:rFonts w:hint="eastAsia" w:ascii="Times New Roman" w:hAnsi="Times New Roman" w:eastAsia="仿宋" w:cs="Times New Roman"/>
          <w:bCs/>
          <w:sz w:val="32"/>
          <w:szCs w:val="32"/>
          <w:lang w:eastAsia="zh-CN"/>
        </w:rPr>
        <w:t>本标准</w:t>
      </w:r>
      <w:r>
        <w:rPr>
          <w:rFonts w:hint="default" w:ascii="Times New Roman" w:hAnsi="Times New Roman" w:eastAsia="仿宋" w:cs="Times New Roman"/>
          <w:bCs/>
          <w:sz w:val="32"/>
          <w:szCs w:val="32"/>
          <w:lang w:eastAsia="zh-CN"/>
        </w:rPr>
        <w:t>由</w:t>
      </w:r>
      <w:r>
        <w:rPr>
          <w:rFonts w:hint="default" w:ascii="Times New Roman" w:hAnsi="Times New Roman" w:eastAsia="仿宋" w:cs="Times New Roman"/>
          <w:bCs/>
          <w:sz w:val="32"/>
          <w:szCs w:val="32"/>
          <w:lang w:val="en-US" w:eastAsia="zh-CN"/>
        </w:rPr>
        <w:t>江西省水务集团有限公司、江西省水利厅、江西省防汛信息中心、江西省灌溉排水发展中心</w:t>
      </w:r>
      <w:r>
        <w:rPr>
          <w:rFonts w:hint="default" w:ascii="Times New Roman" w:hAnsi="Times New Roman" w:eastAsia="仿宋" w:cs="Times New Roman"/>
          <w:bCs/>
          <w:sz w:val="32"/>
          <w:szCs w:val="32"/>
          <w:lang w:eastAsia="zh-CN"/>
        </w:rPr>
        <w:t>组织标准的宣贯培训工作，由</w:t>
      </w:r>
      <w:r>
        <w:rPr>
          <w:rFonts w:hint="default" w:ascii="Times New Roman" w:hAnsi="Times New Roman" w:eastAsia="仿宋" w:cs="Times New Roman"/>
          <w:bCs/>
          <w:sz w:val="32"/>
          <w:szCs w:val="32"/>
          <w:lang w:val="en-US" w:eastAsia="zh-CN"/>
        </w:rPr>
        <w:t>江西省范围内水利</w:t>
      </w:r>
      <w:r>
        <w:rPr>
          <w:rFonts w:hint="default" w:ascii="Times New Roman" w:hAnsi="Times New Roman" w:eastAsia="仿宋" w:cs="Times New Roman"/>
          <w:bCs/>
          <w:sz w:val="32"/>
          <w:szCs w:val="32"/>
          <w:lang w:eastAsia="zh-CN"/>
        </w:rPr>
        <w:t>行业内企业和相关单位自愿采用</w:t>
      </w:r>
      <w:r>
        <w:rPr>
          <w:rFonts w:hint="eastAsia" w:ascii="Times New Roman" w:hAnsi="Times New Roman" w:eastAsia="仿宋" w:cs="Times New Roman"/>
          <w:bCs/>
          <w:sz w:val="32"/>
          <w:szCs w:val="32"/>
          <w:lang w:eastAsia="zh-CN"/>
        </w:rPr>
        <w:t>本标准</w:t>
      </w:r>
      <w:r>
        <w:rPr>
          <w:rFonts w:hint="default" w:ascii="Times New Roman" w:hAnsi="Times New Roman" w:eastAsia="仿宋" w:cs="Times New Roman"/>
          <w:bCs/>
          <w:sz w:val="32"/>
          <w:szCs w:val="32"/>
          <w:lang w:eastAsia="zh-CN"/>
        </w:rPr>
        <w:t>作为相关</w:t>
      </w:r>
      <w:r>
        <w:rPr>
          <w:rFonts w:hint="default" w:ascii="Times New Roman" w:hAnsi="Times New Roman" w:eastAsia="仿宋" w:cs="Times New Roman"/>
          <w:bCs/>
          <w:sz w:val="32"/>
          <w:szCs w:val="32"/>
          <w:lang w:val="en-US" w:eastAsia="zh-CN"/>
        </w:rPr>
        <w:t>水利工程建设</w:t>
      </w:r>
      <w:r>
        <w:rPr>
          <w:rFonts w:hint="default" w:ascii="Times New Roman" w:hAnsi="Times New Roman" w:eastAsia="仿宋" w:cs="Times New Roman"/>
          <w:bCs/>
          <w:sz w:val="32"/>
          <w:szCs w:val="32"/>
          <w:lang w:eastAsia="zh-CN"/>
        </w:rPr>
        <w:t>的执行标准。建议作为农村供水管理单位开展信息化建设的参考依据，在全省推广应用。</w:t>
      </w:r>
    </w:p>
    <w:p w14:paraId="5842886E">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27" w:name="_Toc1107"/>
      <w:bookmarkStart w:id="28" w:name="_Toc26464"/>
      <w:r>
        <w:rPr>
          <w:rFonts w:hint="default" w:ascii="Times New Roman" w:hAnsi="Times New Roman" w:eastAsia="黑体" w:cs="Times New Roman"/>
          <w:b/>
          <w:sz w:val="32"/>
          <w:szCs w:val="32"/>
          <w:lang w:val="en-US" w:eastAsia="zh-CN"/>
        </w:rPr>
        <w:t>废止现行相关标准的建议</w:t>
      </w:r>
      <w:bookmarkEnd w:id="27"/>
      <w:bookmarkEnd w:id="28"/>
    </w:p>
    <w:p w14:paraId="31AE550A">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eastAsia="zh-CN"/>
        </w:rPr>
      </w:pPr>
      <w:r>
        <w:rPr>
          <w:rFonts w:hint="eastAsia" w:ascii="Times New Roman" w:hAnsi="Times New Roman" w:eastAsia="仿宋" w:cs="Times New Roman"/>
          <w:bCs/>
          <w:sz w:val="32"/>
          <w:szCs w:val="32"/>
          <w:lang w:eastAsia="zh-CN"/>
        </w:rPr>
        <w:t>本标准</w:t>
      </w:r>
      <w:r>
        <w:rPr>
          <w:rFonts w:hint="default" w:ascii="Times New Roman" w:hAnsi="Times New Roman" w:eastAsia="仿宋" w:cs="Times New Roman"/>
          <w:bCs/>
          <w:sz w:val="32"/>
          <w:szCs w:val="32"/>
          <w:lang w:eastAsia="zh-CN"/>
        </w:rPr>
        <w:t>无替代标准版本。</w:t>
      </w:r>
    </w:p>
    <w:p w14:paraId="02BAFF2E">
      <w:pPr>
        <w:numPr>
          <w:ilvl w:val="0"/>
          <w:numId w:val="1"/>
        </w:numPr>
        <w:ind w:left="0" w:leftChars="0" w:firstLine="0" w:firstLineChars="0"/>
        <w:jc w:val="both"/>
        <w:outlineLvl w:val="0"/>
        <w:rPr>
          <w:rFonts w:hint="default" w:ascii="Times New Roman" w:hAnsi="Times New Roman" w:eastAsia="黑体" w:cs="Times New Roman"/>
          <w:b/>
          <w:sz w:val="32"/>
          <w:szCs w:val="32"/>
          <w:lang w:val="en-US" w:eastAsia="zh-CN"/>
        </w:rPr>
      </w:pPr>
      <w:bookmarkStart w:id="29" w:name="_Toc28148"/>
      <w:bookmarkStart w:id="30" w:name="_Toc7179"/>
      <w:r>
        <w:rPr>
          <w:rFonts w:hint="default" w:ascii="Times New Roman" w:hAnsi="Times New Roman" w:eastAsia="黑体" w:cs="Times New Roman"/>
          <w:b/>
          <w:sz w:val="32"/>
          <w:szCs w:val="32"/>
          <w:lang w:val="en-US" w:eastAsia="zh-CN"/>
        </w:rPr>
        <w:t>其他应予说明的事项</w:t>
      </w:r>
      <w:bookmarkEnd w:id="29"/>
      <w:bookmarkEnd w:id="30"/>
    </w:p>
    <w:p w14:paraId="461C3AF7">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eastAsia="zh-CN"/>
        </w:rPr>
        <w:t>无。</w:t>
      </w: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FangSong">
    <w:panose1 w:val="02010609060101010101"/>
    <w:charset w:val="86"/>
    <w:family w:val="auto"/>
    <w:pitch w:val="default"/>
    <w:sig w:usb0="800002BF" w:usb1="38CF7CFA"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1EB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036B26">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036B26">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78DE8F"/>
    <w:multiLevelType w:val="singleLevel"/>
    <w:tmpl w:val="AC78DE8F"/>
    <w:lvl w:ilvl="0" w:tentative="0">
      <w:start w:val="1"/>
      <w:numFmt w:val="chineseCounting"/>
      <w:suff w:val="nothing"/>
      <w:lvlText w:val="%1、"/>
      <w:lvlJc w:val="left"/>
      <w:pPr>
        <w:ind w:left="-420" w:firstLine="420"/>
      </w:pPr>
      <w:rPr>
        <w:rFonts w:hint="eastAsia"/>
      </w:rPr>
    </w:lvl>
  </w:abstractNum>
  <w:abstractNum w:abstractNumId="1">
    <w:nsid w:val="CA756DD1"/>
    <w:multiLevelType w:val="singleLevel"/>
    <w:tmpl w:val="CA756DD1"/>
    <w:lvl w:ilvl="0" w:tentative="0">
      <w:start w:val="1"/>
      <w:numFmt w:val="chineseCounting"/>
      <w:suff w:val="nothing"/>
      <w:lvlText w:val="（%1）"/>
      <w:lvlJc w:val="left"/>
      <w:rPr>
        <w:rFonts w:hint="eastAsia"/>
      </w:rPr>
    </w:lvl>
  </w:abstractNum>
  <w:abstractNum w:abstractNumId="2">
    <w:nsid w:val="DCCEEC77"/>
    <w:multiLevelType w:val="singleLevel"/>
    <w:tmpl w:val="DCCEEC77"/>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2MTE3NjIzMDY0MzFlMmY5N2QwYmY3MTkyZjA0MzIifQ=="/>
  </w:docVars>
  <w:rsids>
    <w:rsidRoot w:val="5BECF360"/>
    <w:rsid w:val="00BF52BD"/>
    <w:rsid w:val="024617F2"/>
    <w:rsid w:val="034B5C67"/>
    <w:rsid w:val="04BA0DCB"/>
    <w:rsid w:val="07493F9A"/>
    <w:rsid w:val="0D215BE5"/>
    <w:rsid w:val="0E29521B"/>
    <w:rsid w:val="0FD32136"/>
    <w:rsid w:val="12661A3D"/>
    <w:rsid w:val="13B63A29"/>
    <w:rsid w:val="15842905"/>
    <w:rsid w:val="185331C0"/>
    <w:rsid w:val="19AE51BE"/>
    <w:rsid w:val="19D8595E"/>
    <w:rsid w:val="1BC85FA4"/>
    <w:rsid w:val="1D103A12"/>
    <w:rsid w:val="1F4E3F72"/>
    <w:rsid w:val="1FD687E2"/>
    <w:rsid w:val="23E46569"/>
    <w:rsid w:val="256A3BC1"/>
    <w:rsid w:val="26D81610"/>
    <w:rsid w:val="27DC566E"/>
    <w:rsid w:val="2B3447BE"/>
    <w:rsid w:val="2B5E554F"/>
    <w:rsid w:val="2E45716A"/>
    <w:rsid w:val="2EC15CB4"/>
    <w:rsid w:val="2F6D8C39"/>
    <w:rsid w:val="33B528AF"/>
    <w:rsid w:val="347A51A8"/>
    <w:rsid w:val="34822BDA"/>
    <w:rsid w:val="34D643A8"/>
    <w:rsid w:val="34F63969"/>
    <w:rsid w:val="37CA0435"/>
    <w:rsid w:val="39FE1427"/>
    <w:rsid w:val="3B3FADEF"/>
    <w:rsid w:val="3BAA1E25"/>
    <w:rsid w:val="3CE138EA"/>
    <w:rsid w:val="3EC46D1A"/>
    <w:rsid w:val="3F3BF127"/>
    <w:rsid w:val="3F6F3675"/>
    <w:rsid w:val="40240823"/>
    <w:rsid w:val="40475EE5"/>
    <w:rsid w:val="41646408"/>
    <w:rsid w:val="434877D8"/>
    <w:rsid w:val="44A80443"/>
    <w:rsid w:val="47460A86"/>
    <w:rsid w:val="48290C5C"/>
    <w:rsid w:val="4A2A683B"/>
    <w:rsid w:val="4B0E6396"/>
    <w:rsid w:val="4BF7E2D2"/>
    <w:rsid w:val="4E7F6A07"/>
    <w:rsid w:val="503009B9"/>
    <w:rsid w:val="525503FE"/>
    <w:rsid w:val="57BFF296"/>
    <w:rsid w:val="57EBC41D"/>
    <w:rsid w:val="595655E0"/>
    <w:rsid w:val="5B6E4DC3"/>
    <w:rsid w:val="5BECF360"/>
    <w:rsid w:val="5E912F6A"/>
    <w:rsid w:val="5F9E5288"/>
    <w:rsid w:val="5FFF188F"/>
    <w:rsid w:val="60751B6A"/>
    <w:rsid w:val="610B51F0"/>
    <w:rsid w:val="624014A4"/>
    <w:rsid w:val="6389375B"/>
    <w:rsid w:val="64CD637E"/>
    <w:rsid w:val="64D5E6C6"/>
    <w:rsid w:val="67170B5C"/>
    <w:rsid w:val="67B8683E"/>
    <w:rsid w:val="67E4410B"/>
    <w:rsid w:val="67FCE7FC"/>
    <w:rsid w:val="68F14D31"/>
    <w:rsid w:val="6C821019"/>
    <w:rsid w:val="6C9F78C6"/>
    <w:rsid w:val="6DBC51E2"/>
    <w:rsid w:val="6DBF73E2"/>
    <w:rsid w:val="6DF6C5C5"/>
    <w:rsid w:val="6E496154"/>
    <w:rsid w:val="6E7DDDD5"/>
    <w:rsid w:val="6EBE269E"/>
    <w:rsid w:val="6FB3E485"/>
    <w:rsid w:val="75036E13"/>
    <w:rsid w:val="75A63493"/>
    <w:rsid w:val="76991C1B"/>
    <w:rsid w:val="771CD800"/>
    <w:rsid w:val="77A17922"/>
    <w:rsid w:val="7B6C7C39"/>
    <w:rsid w:val="7B935312"/>
    <w:rsid w:val="7CFF4B82"/>
    <w:rsid w:val="7DCD5793"/>
    <w:rsid w:val="7DFBB755"/>
    <w:rsid w:val="7FB12233"/>
    <w:rsid w:val="7FFF6D2C"/>
    <w:rsid w:val="912E77B3"/>
    <w:rsid w:val="9A371CBC"/>
    <w:rsid w:val="9AFB0D0C"/>
    <w:rsid w:val="AF0BDDC1"/>
    <w:rsid w:val="B5DFEBA1"/>
    <w:rsid w:val="BCBF5E5B"/>
    <w:rsid w:val="BE3B340A"/>
    <w:rsid w:val="C5DF4A5E"/>
    <w:rsid w:val="CBFBBDE8"/>
    <w:rsid w:val="CEDF481A"/>
    <w:rsid w:val="CFAFD8E8"/>
    <w:rsid w:val="D6D2416E"/>
    <w:rsid w:val="EB3E847E"/>
    <w:rsid w:val="EB7E2E93"/>
    <w:rsid w:val="EBAF3320"/>
    <w:rsid w:val="EBFA1891"/>
    <w:rsid w:val="EFCF0240"/>
    <w:rsid w:val="F4F967C4"/>
    <w:rsid w:val="F76EAE8E"/>
    <w:rsid w:val="F7EFE72E"/>
    <w:rsid w:val="F9FA52FA"/>
    <w:rsid w:val="FAF7FC34"/>
    <w:rsid w:val="FBB7CF9B"/>
    <w:rsid w:val="FC0F5137"/>
    <w:rsid w:val="FD7FE0FF"/>
    <w:rsid w:val="FE7B7DDF"/>
    <w:rsid w:val="FE9D888D"/>
    <w:rsid w:val="FFE96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qFormat/>
    <w:uiPriority w:val="0"/>
  </w:style>
  <w:style w:type="character" w:styleId="7">
    <w:name w:val="page number"/>
    <w:basedOn w:val="6"/>
    <w:qFormat/>
    <w:uiPriority w:val="0"/>
  </w:style>
  <w:style w:type="paragraph" w:customStyle="1" w:styleId="8">
    <w:name w:val="表格文字"/>
    <w:basedOn w:val="1"/>
    <w:qFormat/>
    <w:uiPriority w:val="0"/>
    <w:pPr>
      <w:spacing w:before="25" w:after="25"/>
      <w:jc w:val="left"/>
    </w:pPr>
    <w:rPr>
      <w:bCs/>
      <w:spacing w:val="10"/>
      <w:kern w:val="0"/>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4937</Words>
  <Characters>5042</Characters>
  <Lines>0</Lines>
  <Paragraphs>0</Paragraphs>
  <TotalTime>3</TotalTime>
  <ScaleCrop>false</ScaleCrop>
  <LinksUpToDate>false</LinksUpToDate>
  <CharactersWithSpaces>5145</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2024-03-03T22:55:00Z</dcterms:created>
  <dc:creator>华戴胜</dc:creator>
  <cp:lastModifiedBy>华戴胜</cp:lastModifiedBy>
  <cp:lastPrinted>2024-08-07T08:44:00Z</cp:lastPrinted>
  <dcterms:modified xsi:type="dcterms:W3CDTF">2024-12-26T11:02:35Z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FB1F8C8BCAF69BDDA58C206627BB8724_43</vt:lpwstr>
  </property>
</Properties>
</file>